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67978" w14:textId="42D20AD1" w:rsidR="009E5784" w:rsidRDefault="009E5784" w:rsidP="000928ED">
      <w:pPr>
        <w:rPr>
          <w:rFonts w:cs="Calibri"/>
          <w:color w:val="000000" w:themeColor="text1"/>
          <w:sz w:val="22"/>
          <w:szCs w:val="22"/>
          <w:lang w:val="en-GB"/>
        </w:rPr>
      </w:pPr>
      <w:r w:rsidRPr="009E5784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79DDAC4" wp14:editId="10384D95">
            <wp:simplePos x="0" y="0"/>
            <wp:positionH relativeFrom="margin">
              <wp:posOffset>4124325</wp:posOffset>
            </wp:positionH>
            <wp:positionV relativeFrom="paragraph">
              <wp:posOffset>-184785</wp:posOffset>
            </wp:positionV>
            <wp:extent cx="1685925" cy="797442"/>
            <wp:effectExtent l="0" t="0" r="0" b="0"/>
            <wp:wrapNone/>
            <wp:docPr id="12" name="Picture 1" descr="combined-NMR-NEF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combined-NMR-NEF-logo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97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1267A" w14:textId="5AF6A2D7" w:rsidR="009E5784" w:rsidRDefault="009E5784" w:rsidP="000928ED">
      <w:pPr>
        <w:rPr>
          <w:rFonts w:cs="Calibri"/>
          <w:color w:val="000000" w:themeColor="text1"/>
          <w:sz w:val="22"/>
          <w:szCs w:val="22"/>
          <w:lang w:val="en-GB"/>
        </w:rPr>
      </w:pPr>
    </w:p>
    <w:p w14:paraId="7A19CCA2" w14:textId="150D1DBF" w:rsidR="009E5784" w:rsidRPr="009E5784" w:rsidRDefault="009E5784" w:rsidP="009E5784">
      <w:pPr>
        <w:rPr>
          <w:rFonts w:cs="Calibri"/>
          <w:color w:val="000000" w:themeColor="text1"/>
          <w:sz w:val="22"/>
          <w:szCs w:val="22"/>
          <w:lang w:val="en-GB"/>
        </w:rPr>
      </w:pPr>
    </w:p>
    <w:p w14:paraId="1AC840AD" w14:textId="308C9896" w:rsidR="009E5784" w:rsidRDefault="009E5784" w:rsidP="009E5784">
      <w:pPr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FOR IMMEDIATE RELEASE:</w:t>
      </w:r>
    </w:p>
    <w:p w14:paraId="3023FF10" w14:textId="767FF7E2" w:rsidR="000928ED" w:rsidRPr="004B6D55" w:rsidRDefault="009E5784" w:rsidP="009E5784">
      <w:pPr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Stockholm, Sweden – May 23</w:t>
      </w:r>
      <w:r w:rsidRPr="009E5784">
        <w:rPr>
          <w:rFonts w:cs="Calibri"/>
          <w:color w:val="000000" w:themeColor="text1"/>
          <w:sz w:val="22"/>
          <w:szCs w:val="22"/>
          <w:vertAlign w:val="superscript"/>
          <w:lang w:val="en-GB"/>
        </w:rPr>
        <w:t>rd</w:t>
      </w:r>
      <w:r>
        <w:rPr>
          <w:rFonts w:cs="Calibri"/>
          <w:color w:val="000000" w:themeColor="text1"/>
          <w:sz w:val="22"/>
          <w:szCs w:val="22"/>
          <w:lang w:val="en-GB"/>
        </w:rPr>
        <w:t>, 2016</w:t>
      </w:r>
      <w:r w:rsidRPr="009E5784">
        <w:rPr>
          <w:lang w:val="en-GB"/>
        </w:rPr>
        <w:t xml:space="preserve"> </w:t>
      </w:r>
    </w:p>
    <w:p w14:paraId="51EC4538" w14:textId="77777777" w:rsidR="000928ED" w:rsidRPr="004B6D55" w:rsidRDefault="000928ED" w:rsidP="000928ED">
      <w:pPr>
        <w:rPr>
          <w:rFonts w:cs="Calibri"/>
          <w:color w:val="000000" w:themeColor="text1"/>
          <w:sz w:val="22"/>
          <w:szCs w:val="22"/>
          <w:lang w:val="en-GB"/>
        </w:rPr>
      </w:pPr>
    </w:p>
    <w:p w14:paraId="594F6342" w14:textId="0E96E4FD" w:rsidR="000928ED" w:rsidRPr="004B6D55" w:rsidRDefault="000928ED" w:rsidP="000928ED">
      <w:pPr>
        <w:rPr>
          <w:rFonts w:cs="Calibri"/>
          <w:b/>
          <w:color w:val="000000" w:themeColor="text1"/>
          <w:sz w:val="28"/>
          <w:szCs w:val="22"/>
          <w:lang w:val="en-GB"/>
        </w:rPr>
      </w:pPr>
      <w:r w:rsidRPr="004B6D55">
        <w:rPr>
          <w:rFonts w:cs="Calibri"/>
          <w:b/>
          <w:color w:val="000000" w:themeColor="text1"/>
          <w:sz w:val="28"/>
          <w:szCs w:val="22"/>
          <w:lang w:val="en-GB"/>
        </w:rPr>
        <w:t>Nordic researchers</w:t>
      </w:r>
      <w:r w:rsidR="009E5784">
        <w:rPr>
          <w:rFonts w:cs="Calibri"/>
          <w:b/>
          <w:color w:val="000000" w:themeColor="text1"/>
          <w:sz w:val="28"/>
          <w:szCs w:val="22"/>
          <w:lang w:val="en-GB"/>
        </w:rPr>
        <w:t xml:space="preserve"> and IEA</w:t>
      </w:r>
      <w:r w:rsidRPr="004B6D55">
        <w:rPr>
          <w:rFonts w:cs="Calibri"/>
          <w:b/>
          <w:color w:val="000000" w:themeColor="text1"/>
          <w:sz w:val="28"/>
          <w:szCs w:val="22"/>
          <w:lang w:val="en-GB"/>
        </w:rPr>
        <w:t>:</w:t>
      </w:r>
      <w:r w:rsidR="00531A3F">
        <w:rPr>
          <w:rFonts w:cs="Calibri"/>
          <w:b/>
          <w:color w:val="000000" w:themeColor="text1"/>
          <w:sz w:val="28"/>
          <w:szCs w:val="22"/>
          <w:lang w:val="en-GB"/>
        </w:rPr>
        <w:t xml:space="preserve"> </w:t>
      </w:r>
      <w:r w:rsidR="00DC5FF3" w:rsidRPr="004B6D55">
        <w:rPr>
          <w:rFonts w:cs="Calibri"/>
          <w:b/>
          <w:color w:val="000000" w:themeColor="text1"/>
          <w:sz w:val="28"/>
          <w:szCs w:val="22"/>
          <w:lang w:val="en-GB"/>
        </w:rPr>
        <w:t>T</w:t>
      </w:r>
      <w:r w:rsidRPr="004B6D55">
        <w:rPr>
          <w:rFonts w:cs="Calibri"/>
          <w:b/>
          <w:color w:val="000000" w:themeColor="text1"/>
          <w:sz w:val="28"/>
          <w:szCs w:val="22"/>
          <w:lang w:val="en-GB"/>
        </w:rPr>
        <w:t>ransport</w:t>
      </w:r>
      <w:r w:rsidR="00DC5FF3" w:rsidRPr="004B6D55">
        <w:rPr>
          <w:rFonts w:cs="Calibri"/>
          <w:b/>
          <w:color w:val="000000" w:themeColor="text1"/>
          <w:sz w:val="28"/>
          <w:szCs w:val="22"/>
          <w:lang w:val="en-GB"/>
        </w:rPr>
        <w:t>, industry</w:t>
      </w:r>
      <w:r w:rsidRPr="004B6D55">
        <w:rPr>
          <w:rFonts w:cs="Calibri"/>
          <w:b/>
          <w:color w:val="000000" w:themeColor="text1"/>
          <w:sz w:val="28"/>
          <w:szCs w:val="22"/>
          <w:lang w:val="en-GB"/>
        </w:rPr>
        <w:t xml:space="preserve"> </w:t>
      </w:r>
      <w:r w:rsidR="00DC5FF3" w:rsidRPr="004B6D55">
        <w:rPr>
          <w:rFonts w:cs="Calibri"/>
          <w:b/>
          <w:color w:val="000000" w:themeColor="text1"/>
          <w:sz w:val="28"/>
          <w:szCs w:val="22"/>
          <w:lang w:val="en-GB"/>
        </w:rPr>
        <w:t xml:space="preserve">and flexibility </w:t>
      </w:r>
      <w:r w:rsidRPr="004B6D55">
        <w:rPr>
          <w:rFonts w:cs="Calibri"/>
          <w:b/>
          <w:color w:val="000000" w:themeColor="text1"/>
          <w:sz w:val="28"/>
          <w:szCs w:val="22"/>
          <w:lang w:val="en-GB"/>
        </w:rPr>
        <w:t xml:space="preserve">are the </w:t>
      </w:r>
      <w:r w:rsidR="00C67B69" w:rsidRPr="004B6D55">
        <w:rPr>
          <w:rFonts w:cs="Calibri"/>
          <w:b/>
          <w:color w:val="000000" w:themeColor="text1"/>
          <w:sz w:val="28"/>
          <w:szCs w:val="22"/>
          <w:lang w:val="en-GB"/>
        </w:rPr>
        <w:t>greatest</w:t>
      </w:r>
      <w:r w:rsidRPr="004B6D55">
        <w:rPr>
          <w:rFonts w:cs="Calibri"/>
          <w:b/>
          <w:color w:val="000000" w:themeColor="text1"/>
          <w:sz w:val="28"/>
          <w:szCs w:val="22"/>
          <w:lang w:val="en-GB"/>
        </w:rPr>
        <w:t xml:space="preserve"> challenges </w:t>
      </w:r>
      <w:r w:rsidR="00C67B69" w:rsidRPr="004B6D55">
        <w:rPr>
          <w:rFonts w:cs="Calibri"/>
          <w:b/>
          <w:color w:val="000000" w:themeColor="text1"/>
          <w:sz w:val="28"/>
          <w:szCs w:val="22"/>
          <w:lang w:val="en-GB"/>
        </w:rPr>
        <w:t xml:space="preserve">in achieving a </w:t>
      </w:r>
      <w:r w:rsidRPr="004B6D55">
        <w:rPr>
          <w:rFonts w:cs="Calibri"/>
          <w:b/>
          <w:color w:val="000000" w:themeColor="text1"/>
          <w:sz w:val="28"/>
          <w:szCs w:val="22"/>
          <w:lang w:val="en-GB"/>
        </w:rPr>
        <w:t>carbon</w:t>
      </w:r>
      <w:r w:rsidR="00C67B69" w:rsidRPr="004B6D55">
        <w:rPr>
          <w:rFonts w:cs="Calibri"/>
          <w:b/>
          <w:color w:val="000000" w:themeColor="text1"/>
          <w:sz w:val="28"/>
          <w:szCs w:val="22"/>
          <w:lang w:val="en-GB"/>
        </w:rPr>
        <w:t>-</w:t>
      </w:r>
      <w:r w:rsidRPr="004B6D55">
        <w:rPr>
          <w:rFonts w:cs="Calibri"/>
          <w:b/>
          <w:color w:val="000000" w:themeColor="text1"/>
          <w:sz w:val="28"/>
          <w:szCs w:val="22"/>
          <w:lang w:val="en-GB"/>
        </w:rPr>
        <w:t>neutral Nord</w:t>
      </w:r>
      <w:r w:rsidR="00531A3F">
        <w:rPr>
          <w:rFonts w:cs="Calibri"/>
          <w:b/>
          <w:color w:val="000000" w:themeColor="text1"/>
          <w:sz w:val="28"/>
          <w:szCs w:val="22"/>
          <w:lang w:val="en-GB"/>
        </w:rPr>
        <w:t>ic energy system</w:t>
      </w:r>
    </w:p>
    <w:p w14:paraId="559FB650" w14:textId="77777777" w:rsidR="000928ED" w:rsidRPr="004B6D55" w:rsidRDefault="000928ED" w:rsidP="000928ED">
      <w:pPr>
        <w:rPr>
          <w:rFonts w:cs="Calibri"/>
          <w:color w:val="000000" w:themeColor="text1"/>
          <w:sz w:val="22"/>
          <w:szCs w:val="22"/>
          <w:lang w:val="en-GB"/>
        </w:rPr>
      </w:pPr>
    </w:p>
    <w:p w14:paraId="6B220502" w14:textId="5D85D61B" w:rsidR="000928ED" w:rsidRPr="004B6D55" w:rsidRDefault="00DC5FF3" w:rsidP="000928ED">
      <w:pPr>
        <w:rPr>
          <w:rFonts w:cs="Calibri"/>
          <w:b/>
          <w:color w:val="000000" w:themeColor="text1"/>
          <w:sz w:val="22"/>
          <w:szCs w:val="22"/>
          <w:lang w:val="en-GB"/>
        </w:rPr>
      </w:pPr>
      <w:r w:rsidRPr="004B6D55">
        <w:rPr>
          <w:rFonts w:cs="Calibri"/>
          <w:b/>
          <w:color w:val="000000" w:themeColor="text1"/>
          <w:sz w:val="22"/>
          <w:szCs w:val="22"/>
          <w:lang w:val="en-GB"/>
        </w:rPr>
        <w:t xml:space="preserve">Today </w:t>
      </w:r>
      <w:r w:rsidR="009E5784" w:rsidRPr="004B6D55">
        <w:rPr>
          <w:rFonts w:cs="Calibri"/>
          <w:b/>
          <w:color w:val="000000" w:themeColor="text1"/>
          <w:sz w:val="22"/>
          <w:szCs w:val="22"/>
          <w:lang w:val="en-GB"/>
        </w:rPr>
        <w:t xml:space="preserve">Nordic Energy Research </w:t>
      </w:r>
      <w:r w:rsidR="009E5784">
        <w:rPr>
          <w:rFonts w:cs="Calibri"/>
          <w:b/>
          <w:color w:val="000000" w:themeColor="text1"/>
          <w:sz w:val="22"/>
          <w:szCs w:val="22"/>
          <w:lang w:val="en-GB"/>
        </w:rPr>
        <w:t xml:space="preserve">and </w:t>
      </w:r>
      <w:r w:rsidRPr="004B6D55">
        <w:rPr>
          <w:rFonts w:cs="Calibri"/>
          <w:b/>
          <w:color w:val="000000" w:themeColor="text1"/>
          <w:sz w:val="22"/>
          <w:szCs w:val="22"/>
          <w:lang w:val="en-GB"/>
        </w:rPr>
        <w:t xml:space="preserve">the </w:t>
      </w:r>
      <w:r w:rsidR="00045B4E">
        <w:rPr>
          <w:rFonts w:cs="Calibri"/>
          <w:b/>
          <w:color w:val="000000" w:themeColor="text1"/>
          <w:sz w:val="22"/>
          <w:szCs w:val="22"/>
          <w:lang w:val="en-GB"/>
        </w:rPr>
        <w:t>International Energy Agency (</w:t>
      </w:r>
      <w:r w:rsidRPr="004B6D55">
        <w:rPr>
          <w:rFonts w:cs="Calibri"/>
          <w:b/>
          <w:color w:val="000000" w:themeColor="text1"/>
          <w:sz w:val="22"/>
          <w:szCs w:val="22"/>
          <w:lang w:val="en-GB"/>
        </w:rPr>
        <w:t>IEA</w:t>
      </w:r>
      <w:r w:rsidR="00045B4E">
        <w:rPr>
          <w:rFonts w:cs="Calibri"/>
          <w:b/>
          <w:color w:val="000000" w:themeColor="text1"/>
          <w:sz w:val="22"/>
          <w:szCs w:val="22"/>
          <w:lang w:val="en-GB"/>
        </w:rPr>
        <w:t>)</w:t>
      </w:r>
      <w:r w:rsidRPr="004B6D55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0928ED" w:rsidRPr="004B6D55">
        <w:rPr>
          <w:rFonts w:cs="Calibri"/>
          <w:b/>
          <w:color w:val="000000" w:themeColor="text1"/>
          <w:sz w:val="22"/>
          <w:szCs w:val="22"/>
          <w:lang w:val="en-GB"/>
        </w:rPr>
        <w:t xml:space="preserve">launch </w:t>
      </w:r>
      <w:r w:rsidR="000928ED" w:rsidRPr="004B6D55">
        <w:rPr>
          <w:rFonts w:cs="Calibri"/>
          <w:b/>
          <w:i/>
          <w:color w:val="000000" w:themeColor="text1"/>
          <w:sz w:val="22"/>
          <w:szCs w:val="22"/>
          <w:lang w:val="en-GB"/>
        </w:rPr>
        <w:t>Nordic Energy Technology Perspectives 2016</w:t>
      </w:r>
      <w:r w:rsidRPr="004B6D55">
        <w:rPr>
          <w:rFonts w:cs="Calibri"/>
          <w:b/>
          <w:color w:val="000000" w:themeColor="text1"/>
          <w:sz w:val="22"/>
          <w:szCs w:val="22"/>
          <w:lang w:val="en-GB"/>
        </w:rPr>
        <w:t xml:space="preserve"> in Stockholm</w:t>
      </w:r>
      <w:r w:rsidR="000928ED" w:rsidRPr="004B6D55">
        <w:rPr>
          <w:rFonts w:cs="Calibri"/>
          <w:b/>
          <w:color w:val="000000" w:themeColor="text1"/>
          <w:sz w:val="22"/>
          <w:szCs w:val="22"/>
          <w:lang w:val="en-GB"/>
        </w:rPr>
        <w:t xml:space="preserve">, a Nordic </w:t>
      </w:r>
      <w:r w:rsidRPr="004B6D55">
        <w:rPr>
          <w:rFonts w:cs="Calibri"/>
          <w:b/>
          <w:color w:val="000000" w:themeColor="text1"/>
          <w:sz w:val="22"/>
          <w:szCs w:val="22"/>
          <w:lang w:val="en-GB"/>
        </w:rPr>
        <w:t>edition</w:t>
      </w:r>
      <w:r w:rsidR="000928ED" w:rsidRPr="004B6D55">
        <w:rPr>
          <w:rFonts w:cs="Calibri"/>
          <w:b/>
          <w:color w:val="000000" w:themeColor="text1"/>
          <w:sz w:val="22"/>
          <w:szCs w:val="22"/>
          <w:lang w:val="en-GB"/>
        </w:rPr>
        <w:t xml:space="preserve"> of the IEA's global </w:t>
      </w:r>
      <w:r w:rsidR="00531A3F">
        <w:rPr>
          <w:rFonts w:cs="Calibri"/>
          <w:b/>
          <w:color w:val="000000" w:themeColor="text1"/>
          <w:sz w:val="22"/>
          <w:szCs w:val="22"/>
          <w:lang w:val="en-GB"/>
        </w:rPr>
        <w:t>publication</w:t>
      </w:r>
      <w:r w:rsidR="000928ED" w:rsidRPr="004B6D55">
        <w:rPr>
          <w:rFonts w:cs="Calibri"/>
          <w:b/>
          <w:color w:val="000000" w:themeColor="text1"/>
          <w:sz w:val="22"/>
          <w:szCs w:val="22"/>
          <w:lang w:val="en-GB"/>
        </w:rPr>
        <w:t xml:space="preserve"> </w:t>
      </w:r>
      <w:r w:rsidR="000928ED" w:rsidRPr="00A70F57">
        <w:rPr>
          <w:rFonts w:cs="Calibri"/>
          <w:b/>
          <w:i/>
          <w:color w:val="000000" w:themeColor="text1"/>
          <w:sz w:val="22"/>
          <w:szCs w:val="22"/>
          <w:lang w:val="en-GB"/>
        </w:rPr>
        <w:t>Energy Technology Perspectives</w:t>
      </w:r>
      <w:r w:rsidR="000928ED" w:rsidRPr="004B6D55">
        <w:rPr>
          <w:rFonts w:cs="Calibri"/>
          <w:b/>
          <w:color w:val="000000" w:themeColor="text1"/>
          <w:sz w:val="22"/>
          <w:szCs w:val="22"/>
          <w:lang w:val="en-GB"/>
        </w:rPr>
        <w:t>. The report reveals that</w:t>
      </w:r>
      <w:r w:rsidRPr="004B6D55">
        <w:rPr>
          <w:rFonts w:cs="Calibri"/>
          <w:b/>
          <w:color w:val="000000" w:themeColor="text1"/>
          <w:sz w:val="22"/>
          <w:szCs w:val="22"/>
          <w:lang w:val="en-GB"/>
        </w:rPr>
        <w:t xml:space="preserve"> through regional cooperation, the Nordic countries </w:t>
      </w:r>
      <w:r w:rsidR="000928ED" w:rsidRPr="004B6D55">
        <w:rPr>
          <w:rFonts w:cs="Calibri"/>
          <w:b/>
          <w:color w:val="000000" w:themeColor="text1"/>
          <w:sz w:val="22"/>
          <w:szCs w:val="22"/>
          <w:lang w:val="en-GB"/>
        </w:rPr>
        <w:t xml:space="preserve">can </w:t>
      </w:r>
      <w:r w:rsidRPr="004B6D55">
        <w:rPr>
          <w:rFonts w:cs="Calibri"/>
          <w:b/>
          <w:color w:val="000000" w:themeColor="text1"/>
          <w:sz w:val="22"/>
          <w:szCs w:val="22"/>
          <w:lang w:val="en-GB"/>
        </w:rPr>
        <w:t>achieve</w:t>
      </w:r>
      <w:r w:rsidR="000928ED" w:rsidRPr="004B6D55">
        <w:rPr>
          <w:rFonts w:cs="Calibri"/>
          <w:b/>
          <w:color w:val="000000" w:themeColor="text1"/>
          <w:sz w:val="22"/>
          <w:szCs w:val="22"/>
          <w:lang w:val="en-GB"/>
        </w:rPr>
        <w:t xml:space="preserve"> a </w:t>
      </w:r>
      <w:r w:rsidRPr="004B6D55">
        <w:rPr>
          <w:rFonts w:cs="Calibri"/>
          <w:b/>
          <w:color w:val="000000" w:themeColor="text1"/>
          <w:sz w:val="22"/>
          <w:szCs w:val="22"/>
          <w:lang w:val="en-GB"/>
        </w:rPr>
        <w:t>near carbon-</w:t>
      </w:r>
      <w:r w:rsidR="000928ED" w:rsidRPr="004B6D55">
        <w:rPr>
          <w:rFonts w:cs="Calibri"/>
          <w:b/>
          <w:color w:val="000000" w:themeColor="text1"/>
          <w:sz w:val="22"/>
          <w:szCs w:val="22"/>
          <w:lang w:val="en-GB"/>
        </w:rPr>
        <w:t>neutral energy system by 2050</w:t>
      </w:r>
      <w:r w:rsidR="00531A3F">
        <w:rPr>
          <w:rFonts w:cs="Calibri"/>
          <w:b/>
          <w:color w:val="000000" w:themeColor="text1"/>
          <w:sz w:val="22"/>
          <w:szCs w:val="22"/>
          <w:lang w:val="en-GB"/>
        </w:rPr>
        <w:t>,</w:t>
      </w:r>
      <w:r w:rsidRPr="004B6D55">
        <w:rPr>
          <w:rFonts w:cs="Calibri"/>
          <w:b/>
          <w:color w:val="000000" w:themeColor="text1"/>
          <w:sz w:val="22"/>
          <w:szCs w:val="22"/>
          <w:lang w:val="en-GB"/>
        </w:rPr>
        <w:t xml:space="preserve"> while contributing to European decarbonisation through </w:t>
      </w:r>
      <w:r w:rsidR="00A70F57">
        <w:rPr>
          <w:rFonts w:cs="Calibri"/>
          <w:b/>
          <w:color w:val="000000" w:themeColor="text1"/>
          <w:sz w:val="22"/>
          <w:szCs w:val="22"/>
          <w:lang w:val="en-GB"/>
        </w:rPr>
        <w:t xml:space="preserve">the </w:t>
      </w:r>
      <w:r w:rsidRPr="004B6D55">
        <w:rPr>
          <w:rFonts w:cs="Calibri"/>
          <w:b/>
          <w:color w:val="000000" w:themeColor="text1"/>
          <w:sz w:val="22"/>
          <w:szCs w:val="22"/>
          <w:lang w:val="en-GB"/>
        </w:rPr>
        <w:t>export of clean electricity</w:t>
      </w:r>
      <w:r w:rsidR="000928ED" w:rsidRPr="004B6D55">
        <w:rPr>
          <w:rFonts w:cs="Calibri"/>
          <w:b/>
          <w:color w:val="000000" w:themeColor="text1"/>
          <w:sz w:val="22"/>
          <w:szCs w:val="22"/>
          <w:lang w:val="en-GB"/>
        </w:rPr>
        <w:t xml:space="preserve">. However, </w:t>
      </w:r>
      <w:r w:rsidRPr="004B6D55">
        <w:rPr>
          <w:rFonts w:cs="Calibri"/>
          <w:b/>
          <w:color w:val="000000" w:themeColor="text1"/>
          <w:sz w:val="22"/>
          <w:szCs w:val="22"/>
          <w:lang w:val="en-GB"/>
        </w:rPr>
        <w:t>it will require a dramatic</w:t>
      </w:r>
      <w:r w:rsidR="000928ED" w:rsidRPr="004B6D55">
        <w:rPr>
          <w:rFonts w:cs="Calibri"/>
          <w:b/>
          <w:color w:val="000000" w:themeColor="text1"/>
          <w:sz w:val="22"/>
          <w:szCs w:val="22"/>
          <w:lang w:val="en-GB"/>
        </w:rPr>
        <w:t xml:space="preserve"> restructuring of the transport sector</w:t>
      </w:r>
      <w:r w:rsidRPr="004B6D55">
        <w:rPr>
          <w:rFonts w:cs="Calibri"/>
          <w:b/>
          <w:color w:val="000000" w:themeColor="text1"/>
          <w:sz w:val="22"/>
          <w:szCs w:val="22"/>
          <w:lang w:val="en-GB"/>
        </w:rPr>
        <w:t>, accelerated innovation to reduce industrial emissions, and greater flexibility in the energy system to handle high</w:t>
      </w:r>
      <w:r w:rsidR="004C0FAC">
        <w:rPr>
          <w:rFonts w:cs="Calibri"/>
          <w:b/>
          <w:color w:val="000000" w:themeColor="text1"/>
          <w:sz w:val="22"/>
          <w:szCs w:val="22"/>
          <w:lang w:val="en-GB"/>
        </w:rPr>
        <w:t>er</w:t>
      </w:r>
      <w:r w:rsidRPr="004B6D55">
        <w:rPr>
          <w:rFonts w:cs="Calibri"/>
          <w:b/>
          <w:color w:val="000000" w:themeColor="text1"/>
          <w:sz w:val="22"/>
          <w:szCs w:val="22"/>
          <w:lang w:val="en-GB"/>
        </w:rPr>
        <w:t xml:space="preserve"> shares of variable </w:t>
      </w:r>
      <w:r w:rsidR="00A70F57">
        <w:rPr>
          <w:rFonts w:cs="Calibri"/>
          <w:b/>
          <w:color w:val="000000" w:themeColor="text1"/>
          <w:sz w:val="22"/>
          <w:szCs w:val="22"/>
          <w:lang w:val="en-GB"/>
        </w:rPr>
        <w:t>renewables</w:t>
      </w:r>
      <w:r w:rsidR="000928ED" w:rsidRPr="004B6D55">
        <w:rPr>
          <w:rFonts w:cs="Calibri"/>
          <w:b/>
          <w:color w:val="000000" w:themeColor="text1"/>
          <w:sz w:val="22"/>
          <w:szCs w:val="22"/>
          <w:lang w:val="en-GB"/>
        </w:rPr>
        <w:t>.</w:t>
      </w:r>
    </w:p>
    <w:p w14:paraId="0EC646B9" w14:textId="77777777" w:rsidR="008D26B7" w:rsidRPr="004B6D55" w:rsidRDefault="008D26B7" w:rsidP="000928ED">
      <w:pPr>
        <w:rPr>
          <w:rFonts w:cs="Calibri"/>
          <w:color w:val="000000" w:themeColor="text1"/>
          <w:sz w:val="22"/>
          <w:szCs w:val="22"/>
          <w:lang w:val="en-GB"/>
        </w:rPr>
      </w:pPr>
    </w:p>
    <w:p w14:paraId="5A12EC96" w14:textId="74E2886A" w:rsidR="008D26B7" w:rsidRPr="004B6D55" w:rsidRDefault="008D26B7" w:rsidP="008D26B7">
      <w:pPr>
        <w:rPr>
          <w:rFonts w:cs="Calibri"/>
          <w:color w:val="000000" w:themeColor="text1"/>
          <w:sz w:val="22"/>
          <w:szCs w:val="22"/>
          <w:lang w:val="en-GB"/>
        </w:rPr>
      </w:pPr>
      <w:r w:rsidRPr="004B6D55">
        <w:rPr>
          <w:rFonts w:cs="Calibri"/>
          <w:color w:val="000000" w:themeColor="text1"/>
          <w:sz w:val="22"/>
          <w:szCs w:val="22"/>
          <w:lang w:val="en-GB"/>
        </w:rPr>
        <w:t>Cooperation between the</w:t>
      </w:r>
      <w:r w:rsidR="000928ED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Nordic countries 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>on el</w:t>
      </w:r>
      <w:r w:rsidR="00045B4E">
        <w:rPr>
          <w:rFonts w:cs="Calibri"/>
          <w:color w:val="000000" w:themeColor="text1"/>
          <w:sz w:val="22"/>
          <w:szCs w:val="22"/>
          <w:lang w:val="en-GB"/>
        </w:rPr>
        <w:t>ectricity grids and markets has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 helped the region achieve a</w:t>
      </w:r>
      <w:r w:rsidR="00A70F57">
        <w:rPr>
          <w:rFonts w:cs="Calibri"/>
          <w:color w:val="000000" w:themeColor="text1"/>
          <w:sz w:val="22"/>
          <w:szCs w:val="22"/>
          <w:lang w:val="en-GB"/>
        </w:rPr>
        <w:t>n 87% decarbonised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 power</w:t>
      </w:r>
      <w:r w:rsidR="00A70F57">
        <w:rPr>
          <w:rFonts w:cs="Calibri"/>
          <w:color w:val="000000" w:themeColor="text1"/>
          <w:sz w:val="22"/>
          <w:szCs w:val="22"/>
          <w:lang w:val="en-GB"/>
        </w:rPr>
        <w:t xml:space="preserve"> supply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>. CO</w:t>
      </w:r>
      <w:r w:rsidRPr="004B6D55">
        <w:rPr>
          <w:rFonts w:cs="Calibri"/>
          <w:color w:val="000000" w:themeColor="text1"/>
          <w:sz w:val="22"/>
          <w:szCs w:val="22"/>
          <w:vertAlign w:val="subscript"/>
          <w:lang w:val="en-GB"/>
        </w:rPr>
        <w:t>2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 emissions per unit of electricity generated are currently at the level the world reach</w:t>
      </w:r>
      <w:r w:rsidR="00531A3F">
        <w:rPr>
          <w:rFonts w:cs="Calibri"/>
          <w:color w:val="000000" w:themeColor="text1"/>
          <w:sz w:val="22"/>
          <w:szCs w:val="22"/>
          <w:lang w:val="en-GB"/>
        </w:rPr>
        <w:t>es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 in 2045 in the IEA’s </w:t>
      </w:r>
      <w:r w:rsidR="00531A3F">
        <w:rPr>
          <w:rFonts w:cs="Calibri"/>
          <w:color w:val="000000" w:themeColor="text1"/>
          <w:sz w:val="22"/>
          <w:szCs w:val="22"/>
          <w:lang w:val="en-GB"/>
        </w:rPr>
        <w:t xml:space="preserve">global 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2-degree scenario. While decarbonising electricity is still a </w:t>
      </w:r>
      <w:r w:rsidR="00531A3F">
        <w:rPr>
          <w:rFonts w:cs="Calibri"/>
          <w:color w:val="000000" w:themeColor="text1"/>
          <w:sz w:val="22"/>
          <w:szCs w:val="22"/>
          <w:lang w:val="en-GB"/>
        </w:rPr>
        <w:t>central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 challenge for much of the world, the Nordic case offers insight </w:t>
      </w:r>
      <w:r w:rsidR="00A70F57">
        <w:rPr>
          <w:rFonts w:cs="Calibri"/>
          <w:color w:val="000000" w:themeColor="text1"/>
          <w:sz w:val="22"/>
          <w:szCs w:val="22"/>
          <w:lang w:val="en-GB"/>
        </w:rPr>
        <w:t xml:space="preserve">into </w:t>
      </w:r>
      <w:r w:rsidR="00531A3F">
        <w:rPr>
          <w:rFonts w:cs="Calibri"/>
          <w:color w:val="000000" w:themeColor="text1"/>
          <w:sz w:val="22"/>
          <w:szCs w:val="22"/>
          <w:lang w:val="en-GB"/>
        </w:rPr>
        <w:t>how a clean electricity system can facilitate decarbonisation of other sectors. These final steps toward carbon-neutrality are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 critical to achieving the ambitions of the Paris Agreement.</w:t>
      </w:r>
    </w:p>
    <w:p w14:paraId="085DF425" w14:textId="77777777" w:rsidR="00EF36FF" w:rsidRPr="004B6D55" w:rsidRDefault="00EF36FF" w:rsidP="008D26B7">
      <w:pPr>
        <w:rPr>
          <w:rFonts w:cs="Calibri"/>
          <w:color w:val="000000" w:themeColor="text1"/>
          <w:sz w:val="22"/>
          <w:szCs w:val="22"/>
          <w:lang w:val="en-GB"/>
        </w:rPr>
      </w:pPr>
    </w:p>
    <w:p w14:paraId="40F30916" w14:textId="79A14D33" w:rsidR="002F5DF8" w:rsidRPr="004B6D55" w:rsidRDefault="009E5784" w:rsidP="008D76E0">
      <w:pPr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R</w:t>
      </w:r>
      <w:r w:rsidR="008D76E0" w:rsidRPr="004B6D55">
        <w:rPr>
          <w:rFonts w:cs="Calibri"/>
          <w:color w:val="000000" w:themeColor="text1"/>
          <w:sz w:val="22"/>
          <w:szCs w:val="22"/>
          <w:lang w:val="en-GB"/>
        </w:rPr>
        <w:t>esearch teams from all five Nordic countries</w:t>
      </w:r>
      <w:r>
        <w:rPr>
          <w:rFonts w:cs="Calibri"/>
          <w:color w:val="000000" w:themeColor="text1"/>
          <w:sz w:val="22"/>
          <w:szCs w:val="22"/>
          <w:lang w:val="en-GB"/>
        </w:rPr>
        <w:t xml:space="preserve"> have worked closely with the IEA to assess</w:t>
      </w:r>
      <w:r w:rsidR="008D76E0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the technical and economic po</w:t>
      </w:r>
      <w:r w:rsidR="002F5DF8" w:rsidRPr="004B6D55">
        <w:rPr>
          <w:rFonts w:cs="Calibri"/>
          <w:color w:val="000000" w:themeColor="text1"/>
          <w:sz w:val="22"/>
          <w:szCs w:val="22"/>
          <w:lang w:val="en-GB"/>
        </w:rPr>
        <w:t>tential</w:t>
      </w:r>
      <w:r w:rsidR="008D76E0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  <w:r w:rsidR="002F5DF8" w:rsidRPr="004B6D55">
        <w:rPr>
          <w:rFonts w:cs="Calibri"/>
          <w:color w:val="000000" w:themeColor="text1"/>
          <w:sz w:val="22"/>
          <w:szCs w:val="22"/>
          <w:lang w:val="en-GB"/>
        </w:rPr>
        <w:t xml:space="preserve">to reduce </w:t>
      </w:r>
      <w:r w:rsidR="00531A3F">
        <w:rPr>
          <w:rFonts w:cs="Calibri"/>
          <w:color w:val="000000" w:themeColor="text1"/>
          <w:sz w:val="22"/>
          <w:szCs w:val="22"/>
          <w:lang w:val="en-GB"/>
        </w:rPr>
        <w:t xml:space="preserve">Nordic </w:t>
      </w:r>
      <w:r w:rsidR="002F5DF8" w:rsidRPr="004B6D55">
        <w:rPr>
          <w:rFonts w:cs="Calibri"/>
          <w:color w:val="000000" w:themeColor="text1"/>
          <w:sz w:val="22"/>
          <w:szCs w:val="22"/>
          <w:lang w:val="en-GB"/>
        </w:rPr>
        <w:t>energy-related CO</w:t>
      </w:r>
      <w:r w:rsidR="002F5DF8" w:rsidRPr="004B6D55">
        <w:rPr>
          <w:rFonts w:cs="Calibri"/>
          <w:color w:val="000000" w:themeColor="text1"/>
          <w:sz w:val="22"/>
          <w:szCs w:val="22"/>
          <w:vertAlign w:val="subscript"/>
          <w:lang w:val="en-GB"/>
        </w:rPr>
        <w:t>2</w:t>
      </w:r>
      <w:r w:rsidR="002F5DF8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by 85% in 2050</w:t>
      </w:r>
      <w:r>
        <w:rPr>
          <w:rFonts w:cs="Calibri"/>
          <w:color w:val="000000" w:themeColor="text1"/>
          <w:sz w:val="22"/>
          <w:szCs w:val="22"/>
          <w:lang w:val="en-GB"/>
        </w:rPr>
        <w:t>,</w:t>
      </w:r>
      <w:r w:rsidR="002F5DF8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compared to 1990 levels</w:t>
      </w:r>
      <w:r>
        <w:rPr>
          <w:rFonts w:cs="Calibri"/>
          <w:color w:val="000000" w:themeColor="text1"/>
          <w:sz w:val="22"/>
          <w:szCs w:val="22"/>
          <w:lang w:val="en-GB"/>
        </w:rPr>
        <w:t>.</w:t>
      </w:r>
      <w:r w:rsidR="002F5DF8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  <w:r>
        <w:rPr>
          <w:rFonts w:cs="Calibri"/>
          <w:color w:val="000000" w:themeColor="text1"/>
          <w:sz w:val="22"/>
          <w:szCs w:val="22"/>
          <w:lang w:val="en-GB"/>
        </w:rPr>
        <w:t xml:space="preserve">This is </w:t>
      </w:r>
      <w:r w:rsidR="002F5DF8" w:rsidRPr="004B6D55">
        <w:rPr>
          <w:rFonts w:cs="Calibri"/>
          <w:color w:val="000000" w:themeColor="text1"/>
          <w:sz w:val="22"/>
          <w:szCs w:val="22"/>
          <w:lang w:val="en-GB"/>
        </w:rPr>
        <w:t xml:space="preserve">broadly consistent with the climate targets of the Nordic governments. </w:t>
      </w:r>
      <w:r w:rsidR="004C0FAC">
        <w:rPr>
          <w:rFonts w:cs="Calibri"/>
          <w:color w:val="000000" w:themeColor="text1"/>
          <w:sz w:val="22"/>
          <w:szCs w:val="22"/>
          <w:lang w:val="en-GB"/>
        </w:rPr>
        <w:t xml:space="preserve">Already in 1990, </w:t>
      </w:r>
      <w:r w:rsidR="002F5DF8" w:rsidRPr="004B6D55">
        <w:rPr>
          <w:rFonts w:cs="Calibri"/>
          <w:color w:val="000000" w:themeColor="text1"/>
          <w:sz w:val="22"/>
          <w:szCs w:val="22"/>
          <w:lang w:val="en-GB"/>
        </w:rPr>
        <w:t>some Nordic countries emitt</w:t>
      </w:r>
      <w:r w:rsidR="004C0FAC">
        <w:rPr>
          <w:rFonts w:cs="Calibri"/>
          <w:color w:val="000000" w:themeColor="text1"/>
          <w:sz w:val="22"/>
          <w:szCs w:val="22"/>
          <w:lang w:val="en-GB"/>
        </w:rPr>
        <w:t>ed</w:t>
      </w:r>
      <w:r w:rsidR="002F5DF8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as little as half the CO</w:t>
      </w:r>
      <w:r w:rsidR="002F5DF8" w:rsidRPr="004B6D55">
        <w:rPr>
          <w:rFonts w:cs="Calibri"/>
          <w:color w:val="000000" w:themeColor="text1"/>
          <w:sz w:val="22"/>
          <w:szCs w:val="22"/>
          <w:vertAlign w:val="subscript"/>
          <w:lang w:val="en-GB"/>
        </w:rPr>
        <w:t>2</w:t>
      </w:r>
      <w:r w:rsidR="002F5DF8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per unit of energy demand comp</w:t>
      </w:r>
      <w:r w:rsidR="004C0FAC">
        <w:rPr>
          <w:rFonts w:cs="Calibri"/>
          <w:color w:val="000000" w:themeColor="text1"/>
          <w:sz w:val="22"/>
          <w:szCs w:val="22"/>
          <w:lang w:val="en-GB"/>
        </w:rPr>
        <w:t>ared to the OECD average. An</w:t>
      </w:r>
      <w:r w:rsidR="002F5DF8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85% reduction</w:t>
      </w:r>
      <w:r w:rsidR="004C0FAC">
        <w:rPr>
          <w:rFonts w:cs="Calibri"/>
          <w:color w:val="000000" w:themeColor="text1"/>
          <w:sz w:val="22"/>
          <w:szCs w:val="22"/>
          <w:lang w:val="en-GB"/>
        </w:rPr>
        <w:t xml:space="preserve"> from this low starting point</w:t>
      </w:r>
      <w:r w:rsidR="002F5DF8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is</w:t>
      </w:r>
      <w:r w:rsidR="004C0FAC">
        <w:rPr>
          <w:rFonts w:cs="Calibri"/>
          <w:color w:val="000000" w:themeColor="text1"/>
          <w:sz w:val="22"/>
          <w:szCs w:val="22"/>
          <w:lang w:val="en-GB"/>
        </w:rPr>
        <w:t xml:space="preserve"> therefore</w:t>
      </w:r>
      <w:r w:rsidR="002F5DF8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highly ambitious.</w:t>
      </w:r>
      <w:r w:rsidR="000F3464">
        <w:rPr>
          <w:rFonts w:cs="Calibri"/>
          <w:color w:val="000000" w:themeColor="text1"/>
          <w:sz w:val="22"/>
          <w:szCs w:val="22"/>
          <w:lang w:val="en-GB"/>
        </w:rPr>
        <w:t xml:space="preserve"> The results </w:t>
      </w:r>
      <w:r w:rsidR="004C0FAC">
        <w:rPr>
          <w:rFonts w:cs="Calibri"/>
          <w:color w:val="000000" w:themeColor="text1"/>
          <w:sz w:val="22"/>
          <w:szCs w:val="22"/>
          <w:lang w:val="en-GB"/>
        </w:rPr>
        <w:t xml:space="preserve">of the analysis </w:t>
      </w:r>
      <w:r w:rsidR="000F3464">
        <w:rPr>
          <w:rFonts w:cs="Calibri"/>
          <w:color w:val="000000" w:themeColor="text1"/>
          <w:sz w:val="22"/>
          <w:szCs w:val="22"/>
          <w:lang w:val="en-GB"/>
        </w:rPr>
        <w:t xml:space="preserve">are positive – the Nordic Carbon-Neutral Scenario is technically feasible </w:t>
      </w:r>
      <w:r w:rsidR="00A70F57">
        <w:rPr>
          <w:rFonts w:cs="Calibri"/>
          <w:color w:val="000000" w:themeColor="text1"/>
          <w:sz w:val="22"/>
          <w:szCs w:val="22"/>
          <w:lang w:val="en-GB"/>
        </w:rPr>
        <w:t xml:space="preserve">with </w:t>
      </w:r>
      <w:r w:rsidR="000F3464">
        <w:rPr>
          <w:rFonts w:cs="Calibri"/>
          <w:color w:val="000000" w:themeColor="text1"/>
          <w:sz w:val="22"/>
          <w:szCs w:val="22"/>
          <w:lang w:val="en-GB"/>
        </w:rPr>
        <w:t>manageable</w:t>
      </w:r>
      <w:r w:rsidR="00A70F57">
        <w:rPr>
          <w:rFonts w:cs="Calibri"/>
          <w:color w:val="000000" w:themeColor="text1"/>
          <w:sz w:val="22"/>
          <w:szCs w:val="22"/>
          <w:lang w:val="en-GB"/>
        </w:rPr>
        <w:t xml:space="preserve"> investment needs</w:t>
      </w:r>
      <w:r w:rsidR="000F3464">
        <w:rPr>
          <w:rFonts w:cs="Calibri"/>
          <w:color w:val="000000" w:themeColor="text1"/>
          <w:sz w:val="22"/>
          <w:szCs w:val="22"/>
          <w:lang w:val="en-GB"/>
        </w:rPr>
        <w:t>.</w:t>
      </w:r>
    </w:p>
    <w:p w14:paraId="6E39435B" w14:textId="432E68F8" w:rsidR="008D76E0" w:rsidRPr="004B6D55" w:rsidRDefault="008D76E0" w:rsidP="008D26B7">
      <w:pPr>
        <w:rPr>
          <w:rFonts w:cs="Calibri"/>
          <w:color w:val="000000" w:themeColor="text1"/>
          <w:sz w:val="22"/>
          <w:szCs w:val="22"/>
          <w:lang w:val="en-GB"/>
        </w:rPr>
      </w:pPr>
    </w:p>
    <w:p w14:paraId="489E1FD0" w14:textId="12F4AA2F" w:rsidR="003E052B" w:rsidRPr="004B6D55" w:rsidRDefault="00EF36FF" w:rsidP="003E052B">
      <w:pPr>
        <w:rPr>
          <w:rFonts w:cs="Calibri"/>
          <w:color w:val="000000" w:themeColor="text1"/>
          <w:sz w:val="22"/>
          <w:szCs w:val="22"/>
          <w:lang w:val="en-GB"/>
        </w:rPr>
      </w:pPr>
      <w:r w:rsidRPr="004B6D55">
        <w:rPr>
          <w:rFonts w:cs="Calibri"/>
          <w:color w:val="000000" w:themeColor="text1"/>
          <w:sz w:val="22"/>
          <w:szCs w:val="22"/>
          <w:lang w:val="en-GB"/>
        </w:rPr>
        <w:t>The greatest emissions reduction must come from the transport sector</w:t>
      </w:r>
      <w:r w:rsidR="000F3464">
        <w:rPr>
          <w:rFonts w:cs="Calibri"/>
          <w:color w:val="000000" w:themeColor="text1"/>
          <w:sz w:val="22"/>
          <w:szCs w:val="22"/>
          <w:lang w:val="en-GB"/>
        </w:rPr>
        <w:t>. Transport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 currently accounts for 40% of Nordic CO</w:t>
      </w:r>
      <w:r w:rsidRPr="004B6D55">
        <w:rPr>
          <w:rFonts w:cs="Calibri"/>
          <w:color w:val="000000" w:themeColor="text1"/>
          <w:sz w:val="22"/>
          <w:szCs w:val="22"/>
          <w:vertAlign w:val="subscript"/>
          <w:lang w:val="en-GB"/>
        </w:rPr>
        <w:t>2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 emissions</w:t>
      </w:r>
      <w:r w:rsidR="000F3464">
        <w:rPr>
          <w:rFonts w:cs="Calibri"/>
          <w:color w:val="000000" w:themeColor="text1"/>
          <w:sz w:val="22"/>
          <w:szCs w:val="22"/>
          <w:lang w:val="en-GB"/>
        </w:rPr>
        <w:t>, and transport activity is set to grow rapidly towards 2050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. </w:t>
      </w:r>
      <w:r w:rsidR="008D76E0" w:rsidRPr="004B6D55">
        <w:rPr>
          <w:rFonts w:cs="Calibri"/>
          <w:color w:val="000000" w:themeColor="text1"/>
          <w:sz w:val="22"/>
          <w:szCs w:val="22"/>
          <w:lang w:val="en-GB"/>
        </w:rPr>
        <w:t>Progress is already evident – a</w:t>
      </w:r>
      <w:r w:rsidR="00C734D7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fifth of all car sales in Norway were electric in 2015</w:t>
      </w:r>
      <w:r w:rsidR="008D76E0" w:rsidRPr="004B6D55">
        <w:rPr>
          <w:rFonts w:cs="Calibri"/>
          <w:color w:val="000000" w:themeColor="text1"/>
          <w:sz w:val="22"/>
          <w:szCs w:val="22"/>
          <w:lang w:val="en-GB"/>
        </w:rPr>
        <w:t>. However, electrifying the vast majority of Nordic passenger vehicles towards 2050 will require greater utilisation of the w</w:t>
      </w:r>
      <w:r w:rsidR="000F3464">
        <w:rPr>
          <w:rFonts w:cs="Calibri"/>
          <w:color w:val="000000" w:themeColor="text1"/>
          <w:sz w:val="22"/>
          <w:szCs w:val="22"/>
          <w:lang w:val="en-GB"/>
        </w:rPr>
        <w:t>ide range of policy tools</w:t>
      </w:r>
      <w:r w:rsidR="003E052B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available</w:t>
      </w:r>
      <w:r w:rsidR="00C734D7" w:rsidRPr="004B6D55">
        <w:rPr>
          <w:rFonts w:cs="Calibri"/>
          <w:color w:val="000000" w:themeColor="text1"/>
          <w:sz w:val="22"/>
          <w:szCs w:val="22"/>
          <w:lang w:val="en-GB"/>
        </w:rPr>
        <w:t xml:space="preserve">. </w:t>
      </w:r>
      <w:r w:rsidR="003E052B" w:rsidRPr="004B6D55">
        <w:rPr>
          <w:rFonts w:cs="Calibri"/>
          <w:color w:val="000000" w:themeColor="text1"/>
          <w:sz w:val="22"/>
          <w:szCs w:val="22"/>
          <w:lang w:val="en-GB"/>
        </w:rPr>
        <w:t>In addition to electrification, shifting from trucks to trains and from private cars to public transport will be critical. Long-distance transport</w:t>
      </w:r>
      <w:r w:rsidR="000F3464">
        <w:rPr>
          <w:rFonts w:cs="Calibri"/>
          <w:color w:val="000000" w:themeColor="text1"/>
          <w:sz w:val="22"/>
          <w:szCs w:val="22"/>
          <w:lang w:val="en-GB"/>
        </w:rPr>
        <w:t xml:space="preserve"> –</w:t>
      </w:r>
      <w:r w:rsidR="003E052B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where electrification is difficult</w:t>
      </w:r>
      <w:r w:rsidR="000F3464">
        <w:rPr>
          <w:rFonts w:cs="Calibri"/>
          <w:color w:val="000000" w:themeColor="text1"/>
          <w:sz w:val="22"/>
          <w:szCs w:val="22"/>
          <w:lang w:val="en-GB"/>
        </w:rPr>
        <w:t xml:space="preserve"> –</w:t>
      </w:r>
      <w:r w:rsidR="003E052B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will require a dramatic increase in the use of biofuels.</w:t>
      </w:r>
    </w:p>
    <w:p w14:paraId="34FA44CC" w14:textId="77777777" w:rsidR="003E052B" w:rsidRPr="004B6D55" w:rsidRDefault="003E052B" w:rsidP="003E052B">
      <w:pPr>
        <w:rPr>
          <w:rFonts w:cs="Calibri"/>
          <w:color w:val="000000" w:themeColor="text1"/>
          <w:sz w:val="22"/>
          <w:szCs w:val="22"/>
          <w:lang w:val="en-GB"/>
        </w:rPr>
      </w:pPr>
    </w:p>
    <w:p w14:paraId="667DBA3F" w14:textId="489944FF" w:rsidR="002F5DF8" w:rsidRPr="004B6D55" w:rsidRDefault="003E052B" w:rsidP="008D26B7">
      <w:pPr>
        <w:rPr>
          <w:rFonts w:cs="Calibri"/>
          <w:color w:val="000000" w:themeColor="text1"/>
          <w:sz w:val="22"/>
          <w:szCs w:val="22"/>
          <w:lang w:val="en-GB"/>
        </w:rPr>
      </w:pP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Many key low-carbon solutions are best suited to urban settings, which have higher population densities and shorter distances. Examples include district heating, public transport and electric vehicles. </w:t>
      </w:r>
      <w:r w:rsidR="000F3464">
        <w:rPr>
          <w:rFonts w:cs="Calibri"/>
          <w:color w:val="000000" w:themeColor="text1"/>
          <w:sz w:val="22"/>
          <w:szCs w:val="22"/>
          <w:lang w:val="en-GB"/>
        </w:rPr>
        <w:t xml:space="preserve">Many Nordic cities lead their national governments, both in terms of climate target ambition and in emissions reduction. </w:t>
      </w:r>
      <w:r w:rsidR="002F5DF8" w:rsidRPr="004B6D55">
        <w:rPr>
          <w:rFonts w:cs="Calibri"/>
          <w:color w:val="000000" w:themeColor="text1"/>
          <w:sz w:val="22"/>
          <w:szCs w:val="22"/>
          <w:lang w:val="en-GB"/>
        </w:rPr>
        <w:t xml:space="preserve">Nordic 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>urban areas are set to grow at double the rate of previous decades, creating an opportunity to accelerate energy system transition through urban leadership.</w:t>
      </w:r>
      <w:r w:rsidR="000F3464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548A4750" w14:textId="77777777" w:rsidR="00C734D7" w:rsidRPr="004B6D55" w:rsidRDefault="00C734D7" w:rsidP="008D26B7">
      <w:pPr>
        <w:rPr>
          <w:rFonts w:cs="Calibri"/>
          <w:color w:val="000000" w:themeColor="text1"/>
          <w:sz w:val="22"/>
          <w:szCs w:val="22"/>
          <w:lang w:val="en-GB"/>
        </w:rPr>
      </w:pPr>
    </w:p>
    <w:p w14:paraId="388FD8C1" w14:textId="34A603CD" w:rsidR="000928ED" w:rsidRPr="004B6D55" w:rsidRDefault="00D960DD" w:rsidP="00D960DD">
      <w:pPr>
        <w:rPr>
          <w:rFonts w:cs="Calibri"/>
          <w:color w:val="000000" w:themeColor="text1"/>
          <w:sz w:val="22"/>
          <w:szCs w:val="22"/>
          <w:lang w:val="en-GB"/>
        </w:rPr>
      </w:pPr>
      <w:r w:rsidRPr="004B6D55">
        <w:rPr>
          <w:rFonts w:cs="Calibri"/>
          <w:color w:val="000000" w:themeColor="text1"/>
          <w:sz w:val="22"/>
          <w:szCs w:val="22"/>
          <w:lang w:val="en-GB"/>
        </w:rPr>
        <w:t>Energy-intensive industries contribute a significant share of both Nordic GDP and CO</w:t>
      </w:r>
      <w:r w:rsidRPr="000F3464">
        <w:rPr>
          <w:rFonts w:cs="Calibri"/>
          <w:color w:val="000000" w:themeColor="text1"/>
          <w:sz w:val="22"/>
          <w:szCs w:val="22"/>
          <w:vertAlign w:val="subscript"/>
          <w:lang w:val="en-GB"/>
        </w:rPr>
        <w:t>2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 emissions. Industries common in the Nordic countries </w:t>
      </w:r>
      <w:r w:rsidR="005A272B">
        <w:rPr>
          <w:rFonts w:cs="Calibri"/>
          <w:color w:val="000000" w:themeColor="text1"/>
          <w:sz w:val="22"/>
          <w:szCs w:val="22"/>
          <w:lang w:val="en-GB"/>
        </w:rPr>
        <w:t xml:space="preserve">– 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>s</w:t>
      </w:r>
      <w:r w:rsidR="005A272B">
        <w:rPr>
          <w:rFonts w:cs="Calibri"/>
          <w:color w:val="000000" w:themeColor="text1"/>
          <w:sz w:val="22"/>
          <w:szCs w:val="22"/>
          <w:lang w:val="en-GB"/>
        </w:rPr>
        <w:t>u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ch </w:t>
      </w:r>
      <w:r w:rsidR="0089319D">
        <w:rPr>
          <w:rFonts w:cs="Calibri"/>
          <w:color w:val="000000" w:themeColor="text1"/>
          <w:sz w:val="22"/>
          <w:szCs w:val="22"/>
          <w:lang w:val="en-GB"/>
        </w:rPr>
        <w:t>as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 iron and steel </w:t>
      </w:r>
      <w:r w:rsidR="005A272B">
        <w:rPr>
          <w:rFonts w:cs="Calibri"/>
          <w:color w:val="000000" w:themeColor="text1"/>
          <w:sz w:val="22"/>
          <w:szCs w:val="22"/>
          <w:lang w:val="en-GB"/>
        </w:rPr>
        <w:t>– h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>ave a relatively high share of process-related emissions</w:t>
      </w:r>
      <w:r w:rsidR="005A272B">
        <w:rPr>
          <w:rFonts w:cs="Calibri"/>
          <w:color w:val="000000" w:themeColor="text1"/>
          <w:sz w:val="22"/>
          <w:szCs w:val="22"/>
          <w:lang w:val="en-GB"/>
        </w:rPr>
        <w:t>,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 which cannot be mitigated through energy efficiency or renewable 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lastRenderedPageBreak/>
        <w:t xml:space="preserve">energy. While </w:t>
      </w:r>
      <w:r w:rsidR="005A272B">
        <w:rPr>
          <w:rFonts w:cs="Calibri"/>
          <w:color w:val="000000" w:themeColor="text1"/>
          <w:sz w:val="22"/>
          <w:szCs w:val="22"/>
          <w:lang w:val="en-GB"/>
        </w:rPr>
        <w:t>a share of these</w:t>
      </w:r>
      <w:r w:rsidR="000928ED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emissions 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>can be reduced th</w:t>
      </w:r>
      <w:r w:rsidR="006E2E28">
        <w:rPr>
          <w:rFonts w:cs="Calibri"/>
          <w:color w:val="000000" w:themeColor="text1"/>
          <w:sz w:val="22"/>
          <w:szCs w:val="22"/>
          <w:lang w:val="en-GB"/>
        </w:rPr>
        <w:t>r</w:t>
      </w:r>
      <w:bookmarkStart w:id="0" w:name="_GoBack"/>
      <w:bookmarkEnd w:id="0"/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ough </w:t>
      </w:r>
      <w:r w:rsidR="005A272B">
        <w:rPr>
          <w:rFonts w:cs="Calibri"/>
          <w:color w:val="000000" w:themeColor="text1"/>
          <w:sz w:val="22"/>
          <w:szCs w:val="22"/>
          <w:lang w:val="en-GB"/>
        </w:rPr>
        <w:t>process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 optimis</w:t>
      </w:r>
      <w:r w:rsidR="000928ED" w:rsidRPr="004B6D55">
        <w:rPr>
          <w:rFonts w:cs="Calibri"/>
          <w:color w:val="000000" w:themeColor="text1"/>
          <w:sz w:val="22"/>
          <w:szCs w:val="22"/>
          <w:lang w:val="en-GB"/>
        </w:rPr>
        <w:t xml:space="preserve">ation, </w:t>
      </w:r>
      <w:r w:rsidR="005A272B">
        <w:rPr>
          <w:rFonts w:cs="Calibri"/>
          <w:color w:val="000000" w:themeColor="text1"/>
          <w:sz w:val="22"/>
          <w:szCs w:val="22"/>
          <w:lang w:val="en-GB"/>
        </w:rPr>
        <w:t>the remainder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 will require that Carbon Capture and Storage</w:t>
      </w:r>
      <w:r w:rsidR="005A272B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>becomes</w:t>
      </w:r>
      <w:r w:rsidR="000928ED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commercially attractive</w:t>
      </w:r>
      <w:r w:rsidR="005A272B">
        <w:rPr>
          <w:rFonts w:cs="Calibri"/>
          <w:color w:val="000000" w:themeColor="text1"/>
          <w:sz w:val="22"/>
          <w:szCs w:val="22"/>
          <w:lang w:val="en-GB"/>
        </w:rPr>
        <w:t xml:space="preserve"> in the next 15 to 20 years, capturing a third of industrial CO</w:t>
      </w:r>
      <w:r w:rsidR="005A272B" w:rsidRPr="005A272B">
        <w:rPr>
          <w:rFonts w:cs="Calibri"/>
          <w:color w:val="000000" w:themeColor="text1"/>
          <w:sz w:val="22"/>
          <w:szCs w:val="22"/>
          <w:vertAlign w:val="subscript"/>
          <w:lang w:val="en-GB"/>
        </w:rPr>
        <w:t>2</w:t>
      </w:r>
      <w:r w:rsidR="005A272B">
        <w:rPr>
          <w:rFonts w:cs="Calibri"/>
          <w:color w:val="000000" w:themeColor="text1"/>
          <w:sz w:val="22"/>
          <w:szCs w:val="22"/>
          <w:lang w:val="en-GB"/>
        </w:rPr>
        <w:t xml:space="preserve"> by 2050.</w:t>
      </w:r>
    </w:p>
    <w:p w14:paraId="6D35EBA4" w14:textId="77777777" w:rsidR="000928ED" w:rsidRPr="004B6D55" w:rsidRDefault="000928ED" w:rsidP="000928ED">
      <w:pPr>
        <w:rPr>
          <w:rFonts w:cs="Calibri"/>
          <w:color w:val="000000" w:themeColor="text1"/>
          <w:sz w:val="22"/>
          <w:szCs w:val="22"/>
          <w:lang w:val="en-GB"/>
        </w:rPr>
      </w:pPr>
    </w:p>
    <w:p w14:paraId="0D0A489C" w14:textId="79DF8B87" w:rsidR="000928ED" w:rsidRDefault="00D960DD" w:rsidP="000928ED">
      <w:pPr>
        <w:rPr>
          <w:rFonts w:cs="Calibri"/>
          <w:color w:val="000000" w:themeColor="text1"/>
          <w:sz w:val="22"/>
          <w:szCs w:val="22"/>
          <w:lang w:val="en-GB"/>
        </w:rPr>
      </w:pPr>
      <w:r w:rsidRPr="004B6D55">
        <w:rPr>
          <w:rFonts w:cs="Calibri"/>
          <w:color w:val="000000" w:themeColor="text1"/>
          <w:sz w:val="22"/>
          <w:szCs w:val="22"/>
          <w:lang w:val="en-GB"/>
        </w:rPr>
        <w:t>The Nordic countries have an</w:t>
      </w:r>
      <w:r w:rsidR="005A272B">
        <w:rPr>
          <w:rFonts w:cs="Calibri"/>
          <w:color w:val="000000" w:themeColor="text1"/>
          <w:sz w:val="22"/>
          <w:szCs w:val="22"/>
          <w:lang w:val="en-GB"/>
        </w:rPr>
        <w:t xml:space="preserve"> economic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 opportunity to capitalise on their significant potential for </w:t>
      </w:r>
      <w:r w:rsidR="00A70F57">
        <w:rPr>
          <w:rFonts w:cs="Calibri"/>
          <w:color w:val="000000" w:themeColor="text1"/>
          <w:sz w:val="22"/>
          <w:szCs w:val="22"/>
          <w:lang w:val="en-GB"/>
        </w:rPr>
        <w:t xml:space="preserve">additional </w:t>
      </w:r>
      <w:r w:rsidR="00A70F57" w:rsidRPr="004B6D55">
        <w:rPr>
          <w:rFonts w:cs="Calibri"/>
          <w:color w:val="000000" w:themeColor="text1"/>
          <w:sz w:val="22"/>
          <w:szCs w:val="22"/>
          <w:lang w:val="en-GB"/>
        </w:rPr>
        <w:t>wind</w:t>
      </w:r>
      <w:r w:rsidR="00A70F57">
        <w:rPr>
          <w:rFonts w:cs="Calibri"/>
          <w:color w:val="000000" w:themeColor="text1"/>
          <w:sz w:val="22"/>
          <w:szCs w:val="22"/>
          <w:lang w:val="en-GB"/>
        </w:rPr>
        <w:t xml:space="preserve"> power</w:t>
      </w:r>
      <w:r w:rsidR="005A272B">
        <w:rPr>
          <w:rFonts w:cs="Calibri"/>
          <w:color w:val="000000" w:themeColor="text1"/>
          <w:sz w:val="22"/>
          <w:szCs w:val="22"/>
          <w:lang w:val="en-GB"/>
        </w:rPr>
        <w:t xml:space="preserve">, 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and </w:t>
      </w:r>
      <w:r w:rsidR="005A272B">
        <w:rPr>
          <w:rFonts w:cs="Calibri"/>
          <w:color w:val="000000" w:themeColor="text1"/>
          <w:sz w:val="22"/>
          <w:szCs w:val="22"/>
          <w:lang w:val="en-GB"/>
        </w:rPr>
        <w:t xml:space="preserve">on 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>the region’s large share of existing dispatchable hydropower.</w:t>
      </w:r>
      <w:r w:rsidR="004B6D55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Further expansion of transmission lines to the continent will enable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 the Nordic </w:t>
      </w:r>
      <w:r w:rsidR="004B6D55" w:rsidRPr="004B6D55">
        <w:rPr>
          <w:rFonts w:cs="Calibri"/>
          <w:color w:val="000000" w:themeColor="text1"/>
          <w:sz w:val="22"/>
          <w:szCs w:val="22"/>
          <w:lang w:val="en-GB"/>
        </w:rPr>
        <w:t>region to</w:t>
      </w:r>
      <w:r w:rsidR="00EF36FF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help meet Europe's demand for clean electricity</w:t>
      </w:r>
      <w:r w:rsidR="005A272B">
        <w:rPr>
          <w:rFonts w:cs="Calibri"/>
          <w:color w:val="000000" w:themeColor="text1"/>
          <w:sz w:val="22"/>
          <w:szCs w:val="22"/>
          <w:lang w:val="en-GB"/>
        </w:rPr>
        <w:t>, while simultaneously balancing</w:t>
      </w:r>
      <w:r w:rsidR="00EF36FF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the </w:t>
      </w:r>
      <w:r w:rsidR="004B6D55" w:rsidRPr="004B6D55">
        <w:rPr>
          <w:rFonts w:cs="Calibri"/>
          <w:color w:val="000000" w:themeColor="text1"/>
          <w:sz w:val="22"/>
          <w:szCs w:val="22"/>
          <w:lang w:val="en-GB"/>
        </w:rPr>
        <w:t>variable supply from</w:t>
      </w:r>
      <w:r w:rsidR="00EF36FF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  <w:r w:rsidR="004B6D55" w:rsidRPr="004B6D55">
        <w:rPr>
          <w:rFonts w:cs="Calibri"/>
          <w:color w:val="000000" w:themeColor="text1"/>
          <w:sz w:val="22"/>
          <w:szCs w:val="22"/>
          <w:lang w:val="en-GB"/>
        </w:rPr>
        <w:t xml:space="preserve">European </w:t>
      </w:r>
      <w:r w:rsidR="00EF36FF" w:rsidRPr="004B6D55">
        <w:rPr>
          <w:rFonts w:cs="Calibri"/>
          <w:color w:val="000000" w:themeColor="text1"/>
          <w:sz w:val="22"/>
          <w:szCs w:val="22"/>
          <w:lang w:val="en-GB"/>
        </w:rPr>
        <w:t>wind and solar.</w:t>
      </w:r>
      <w:r w:rsidR="004B6D55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Greater integration with the</w:t>
      </w:r>
      <w:r w:rsidR="000928ED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Europe</w:t>
      </w:r>
      <w:r w:rsidR="004B6D55" w:rsidRPr="004B6D55">
        <w:rPr>
          <w:rFonts w:cs="Calibri"/>
          <w:color w:val="000000" w:themeColor="text1"/>
          <w:sz w:val="22"/>
          <w:szCs w:val="22"/>
          <w:lang w:val="en-GB"/>
        </w:rPr>
        <w:t>an electricity grid</w:t>
      </w:r>
      <w:r w:rsidR="000928ED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  <w:r w:rsidR="005600DA">
        <w:rPr>
          <w:rFonts w:cs="Calibri"/>
          <w:color w:val="000000" w:themeColor="text1"/>
          <w:sz w:val="22"/>
          <w:szCs w:val="22"/>
          <w:lang w:val="en-GB"/>
        </w:rPr>
        <w:t xml:space="preserve">can lead to </w:t>
      </w:r>
      <w:r w:rsidR="000928ED" w:rsidRPr="004B6D55">
        <w:rPr>
          <w:rFonts w:cs="Calibri"/>
          <w:color w:val="000000" w:themeColor="text1"/>
          <w:sz w:val="22"/>
          <w:szCs w:val="22"/>
          <w:lang w:val="en-GB"/>
        </w:rPr>
        <w:t>higher and more variable electricity price</w:t>
      </w:r>
      <w:r w:rsidR="004B6D55" w:rsidRPr="004B6D55">
        <w:rPr>
          <w:rFonts w:cs="Calibri"/>
          <w:color w:val="000000" w:themeColor="text1"/>
          <w:sz w:val="22"/>
          <w:szCs w:val="22"/>
          <w:lang w:val="en-GB"/>
        </w:rPr>
        <w:t>s</w:t>
      </w:r>
      <w:r w:rsidR="000928ED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  <w:r w:rsidR="004B6D55" w:rsidRPr="004B6D55">
        <w:rPr>
          <w:rFonts w:cs="Calibri"/>
          <w:color w:val="000000" w:themeColor="text1"/>
          <w:sz w:val="22"/>
          <w:szCs w:val="22"/>
          <w:lang w:val="en-GB"/>
        </w:rPr>
        <w:t>in the Nordic region</w:t>
      </w:r>
      <w:r w:rsidR="000928ED" w:rsidRPr="004B6D55">
        <w:rPr>
          <w:rFonts w:cs="Calibri"/>
          <w:color w:val="000000" w:themeColor="text1"/>
          <w:sz w:val="22"/>
          <w:szCs w:val="22"/>
          <w:lang w:val="en-GB"/>
        </w:rPr>
        <w:t>. This</w:t>
      </w:r>
      <w:r w:rsidR="005600DA" w:rsidRPr="005600DA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  <w:r w:rsidR="005600DA">
        <w:rPr>
          <w:rFonts w:cs="Calibri"/>
          <w:color w:val="000000" w:themeColor="text1"/>
          <w:sz w:val="22"/>
          <w:szCs w:val="22"/>
          <w:lang w:val="en-GB"/>
        </w:rPr>
        <w:t>can benefit</w:t>
      </w:r>
      <w:r w:rsidR="005600DA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  <w:r w:rsidR="005600DA">
        <w:rPr>
          <w:rFonts w:cs="Calibri"/>
          <w:color w:val="000000" w:themeColor="text1"/>
          <w:sz w:val="22"/>
          <w:szCs w:val="22"/>
          <w:lang w:val="en-GB"/>
        </w:rPr>
        <w:t xml:space="preserve">Nordic </w:t>
      </w:r>
      <w:r w:rsidR="005600DA" w:rsidRPr="004B6D55">
        <w:rPr>
          <w:rFonts w:cs="Calibri"/>
          <w:color w:val="000000" w:themeColor="text1"/>
          <w:sz w:val="22"/>
          <w:szCs w:val="22"/>
          <w:lang w:val="en-GB"/>
        </w:rPr>
        <w:t xml:space="preserve">power </w:t>
      </w:r>
      <w:r w:rsidR="005600DA">
        <w:rPr>
          <w:rFonts w:cs="Calibri"/>
          <w:color w:val="000000" w:themeColor="text1"/>
          <w:sz w:val="22"/>
          <w:szCs w:val="22"/>
          <w:lang w:val="en-GB"/>
        </w:rPr>
        <w:t>generators and grid operators</w:t>
      </w:r>
      <w:r w:rsidR="005600DA" w:rsidRPr="004B6D55">
        <w:rPr>
          <w:rFonts w:cs="Calibri"/>
          <w:color w:val="000000" w:themeColor="text1"/>
          <w:sz w:val="22"/>
          <w:szCs w:val="22"/>
          <w:lang w:val="en-GB"/>
        </w:rPr>
        <w:t xml:space="preserve">, </w:t>
      </w:r>
      <w:r w:rsidR="005600DA">
        <w:rPr>
          <w:rFonts w:cs="Calibri"/>
          <w:color w:val="000000" w:themeColor="text1"/>
          <w:sz w:val="22"/>
          <w:szCs w:val="22"/>
          <w:lang w:val="en-GB"/>
        </w:rPr>
        <w:t>while</w:t>
      </w:r>
      <w:r w:rsidR="004B6D55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impact</w:t>
      </w:r>
      <w:r w:rsidR="005600DA">
        <w:rPr>
          <w:rFonts w:cs="Calibri"/>
          <w:color w:val="000000" w:themeColor="text1"/>
          <w:sz w:val="22"/>
          <w:szCs w:val="22"/>
          <w:lang w:val="en-GB"/>
        </w:rPr>
        <w:t>ing</w:t>
      </w:r>
      <w:r w:rsidR="000928ED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energy-intensive industries</w:t>
      </w:r>
      <w:r w:rsidR="005600DA">
        <w:rPr>
          <w:rFonts w:cs="Calibri"/>
          <w:color w:val="000000" w:themeColor="text1"/>
          <w:sz w:val="22"/>
          <w:szCs w:val="22"/>
          <w:lang w:val="en-GB"/>
        </w:rPr>
        <w:t>.</w:t>
      </w:r>
      <w:r w:rsidR="004B6D55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  <w:r w:rsidR="005600DA">
        <w:rPr>
          <w:rFonts w:cs="Calibri"/>
          <w:color w:val="000000" w:themeColor="text1"/>
          <w:sz w:val="22"/>
          <w:szCs w:val="22"/>
          <w:lang w:val="en-GB"/>
        </w:rPr>
        <w:t>Policies will be instrumental in</w:t>
      </w:r>
      <w:r w:rsidR="004B6D55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  <w:r w:rsidR="005600DA">
        <w:rPr>
          <w:rFonts w:cs="Calibri"/>
          <w:color w:val="000000" w:themeColor="text1"/>
          <w:sz w:val="22"/>
          <w:szCs w:val="22"/>
          <w:lang w:val="en-GB"/>
        </w:rPr>
        <w:t>balancing further European integration with industrial competitiveness.</w:t>
      </w:r>
      <w:r w:rsidR="004B6D55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</w:p>
    <w:p w14:paraId="63D9CD45" w14:textId="2C45E2C3" w:rsidR="00A62DA9" w:rsidRDefault="00A62DA9" w:rsidP="000928ED">
      <w:pPr>
        <w:rPr>
          <w:rFonts w:cs="Calibri"/>
          <w:color w:val="000000" w:themeColor="text1"/>
          <w:sz w:val="22"/>
          <w:szCs w:val="22"/>
          <w:lang w:val="en-GB"/>
        </w:rPr>
      </w:pPr>
    </w:p>
    <w:p w14:paraId="7973FEC6" w14:textId="4C7FF528" w:rsidR="00A62DA9" w:rsidRPr="004B6D55" w:rsidRDefault="00A62DA9" w:rsidP="000928ED">
      <w:pPr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 xml:space="preserve">With wind </w:t>
      </w:r>
      <w:r w:rsidR="00951428">
        <w:rPr>
          <w:rFonts w:cs="Calibri"/>
          <w:color w:val="000000" w:themeColor="text1"/>
          <w:sz w:val="22"/>
          <w:szCs w:val="22"/>
          <w:lang w:val="en-GB"/>
        </w:rPr>
        <w:t xml:space="preserve">growing from 7% of Nordic generation in 2013 to 30% in 2050 – and </w:t>
      </w:r>
      <w:r w:rsidR="00A70F57">
        <w:rPr>
          <w:rFonts w:cs="Calibri"/>
          <w:color w:val="000000" w:themeColor="text1"/>
          <w:sz w:val="22"/>
          <w:szCs w:val="22"/>
          <w:lang w:val="en-GB"/>
        </w:rPr>
        <w:t xml:space="preserve">to </w:t>
      </w:r>
      <w:r w:rsidR="00951428">
        <w:rPr>
          <w:rFonts w:cs="Calibri"/>
          <w:color w:val="000000" w:themeColor="text1"/>
          <w:sz w:val="22"/>
          <w:szCs w:val="22"/>
          <w:lang w:val="en-GB"/>
        </w:rPr>
        <w:t xml:space="preserve">70% in Denmark – the need for flexibility in the energy system becomes more acute. Without which, variable wind power will lead to volatile </w:t>
      </w:r>
      <w:r w:rsidR="009C4B6E">
        <w:rPr>
          <w:rFonts w:cs="Calibri"/>
          <w:color w:val="000000" w:themeColor="text1"/>
          <w:sz w:val="22"/>
          <w:szCs w:val="22"/>
          <w:lang w:val="en-GB"/>
        </w:rPr>
        <w:t xml:space="preserve">electricity </w:t>
      </w:r>
      <w:r w:rsidR="00951428">
        <w:rPr>
          <w:rFonts w:cs="Calibri"/>
          <w:color w:val="000000" w:themeColor="text1"/>
          <w:sz w:val="22"/>
          <w:szCs w:val="22"/>
          <w:lang w:val="en-GB"/>
        </w:rPr>
        <w:t>prices</w:t>
      </w:r>
      <w:r w:rsidR="009C4B6E">
        <w:rPr>
          <w:rFonts w:cs="Calibri"/>
          <w:color w:val="000000" w:themeColor="text1"/>
          <w:sz w:val="22"/>
          <w:szCs w:val="22"/>
          <w:lang w:val="en-GB"/>
        </w:rPr>
        <w:t xml:space="preserve"> that impact consumers and discourage further investment in generation capacity</w:t>
      </w:r>
      <w:r w:rsidR="00951428">
        <w:rPr>
          <w:rFonts w:cs="Calibri"/>
          <w:color w:val="000000" w:themeColor="text1"/>
          <w:sz w:val="22"/>
          <w:szCs w:val="22"/>
          <w:lang w:val="en-GB"/>
        </w:rPr>
        <w:t xml:space="preserve">. </w:t>
      </w:r>
      <w:r w:rsidR="00A70F57">
        <w:rPr>
          <w:rFonts w:cs="Calibri"/>
          <w:color w:val="000000" w:themeColor="text1"/>
          <w:sz w:val="22"/>
          <w:szCs w:val="22"/>
          <w:lang w:val="en-GB"/>
        </w:rPr>
        <w:t>D</w:t>
      </w:r>
      <w:r w:rsidR="00951428">
        <w:rPr>
          <w:rFonts w:cs="Calibri"/>
          <w:color w:val="000000" w:themeColor="text1"/>
          <w:sz w:val="22"/>
          <w:szCs w:val="22"/>
          <w:lang w:val="en-GB"/>
        </w:rPr>
        <w:t xml:space="preserve">ispatchable hydropower, combined with a substantial buildout of domestic and cross-border </w:t>
      </w:r>
      <w:r w:rsidR="00951428" w:rsidRPr="004B6D55">
        <w:rPr>
          <w:rFonts w:cs="Calibri"/>
          <w:color w:val="000000" w:themeColor="text1"/>
          <w:sz w:val="22"/>
          <w:szCs w:val="22"/>
          <w:lang w:val="en-GB"/>
        </w:rPr>
        <w:t xml:space="preserve">transmission </w:t>
      </w:r>
      <w:r w:rsidR="00951428">
        <w:rPr>
          <w:rFonts w:cs="Calibri"/>
          <w:color w:val="000000" w:themeColor="text1"/>
          <w:sz w:val="22"/>
          <w:szCs w:val="22"/>
          <w:lang w:val="en-GB"/>
        </w:rPr>
        <w:t xml:space="preserve">grids, provides </w:t>
      </w:r>
      <w:r w:rsidR="009C4B6E">
        <w:rPr>
          <w:rFonts w:cs="Calibri"/>
          <w:color w:val="000000" w:themeColor="text1"/>
          <w:sz w:val="22"/>
          <w:szCs w:val="22"/>
          <w:lang w:val="en-GB"/>
        </w:rPr>
        <w:t>much</w:t>
      </w:r>
      <w:r w:rsidR="00951428">
        <w:rPr>
          <w:rFonts w:cs="Calibri"/>
          <w:color w:val="000000" w:themeColor="text1"/>
          <w:sz w:val="22"/>
          <w:szCs w:val="22"/>
          <w:lang w:val="en-GB"/>
        </w:rPr>
        <w:t xml:space="preserve"> of the flexibility</w:t>
      </w:r>
      <w:r w:rsidR="009C4B6E">
        <w:rPr>
          <w:rFonts w:cs="Calibri"/>
          <w:color w:val="000000" w:themeColor="text1"/>
          <w:sz w:val="22"/>
          <w:szCs w:val="22"/>
          <w:lang w:val="en-GB"/>
        </w:rPr>
        <w:t xml:space="preserve"> needed</w:t>
      </w:r>
      <w:r w:rsidR="00951428">
        <w:rPr>
          <w:rFonts w:cs="Calibri"/>
          <w:color w:val="000000" w:themeColor="text1"/>
          <w:sz w:val="22"/>
          <w:szCs w:val="22"/>
          <w:lang w:val="en-GB"/>
        </w:rPr>
        <w:t>.</w:t>
      </w:r>
      <w:r w:rsidR="009C4B6E">
        <w:rPr>
          <w:rFonts w:cs="Calibri"/>
          <w:color w:val="000000" w:themeColor="text1"/>
          <w:sz w:val="22"/>
          <w:szCs w:val="22"/>
          <w:lang w:val="en-GB"/>
        </w:rPr>
        <w:t xml:space="preserve"> However, significant additional flexibility is required from the district heating system, through flexible co-generation plants, utility-scale heat pumps and electric boilers, as well as heat storage. Furthermore, </w:t>
      </w:r>
      <w:r w:rsidR="003A6D4C">
        <w:rPr>
          <w:rFonts w:cs="Calibri"/>
          <w:color w:val="000000" w:themeColor="text1"/>
          <w:sz w:val="22"/>
          <w:szCs w:val="22"/>
          <w:lang w:val="en-GB"/>
        </w:rPr>
        <w:t>flexibility from d</w:t>
      </w:r>
      <w:r w:rsidR="009C4B6E">
        <w:rPr>
          <w:rFonts w:cs="Calibri"/>
          <w:color w:val="000000" w:themeColor="text1"/>
          <w:sz w:val="22"/>
          <w:szCs w:val="22"/>
          <w:lang w:val="en-GB"/>
        </w:rPr>
        <w:t xml:space="preserve">emand response in industry, buildings and electric vehicles </w:t>
      </w:r>
      <w:r w:rsidR="00A70F57">
        <w:rPr>
          <w:rFonts w:cs="Calibri"/>
          <w:color w:val="000000" w:themeColor="text1"/>
          <w:sz w:val="22"/>
          <w:szCs w:val="22"/>
          <w:lang w:val="en-GB"/>
        </w:rPr>
        <w:t>has the potential to</w:t>
      </w:r>
      <w:r w:rsidR="009C4B6E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  <w:r w:rsidR="003A6D4C">
        <w:rPr>
          <w:rFonts w:cs="Calibri"/>
          <w:color w:val="000000" w:themeColor="text1"/>
          <w:sz w:val="22"/>
          <w:szCs w:val="22"/>
          <w:lang w:val="en-GB"/>
        </w:rPr>
        <w:t>facilitate even higher Nordic wind build-out and net electricity export to Europe than seen in the Nordic Carbon-Neutral Scenario.</w:t>
      </w:r>
    </w:p>
    <w:p w14:paraId="5FE73DE3" w14:textId="43B23CD9" w:rsidR="000928ED" w:rsidRPr="004B6D55" w:rsidRDefault="00C67B69" w:rsidP="000928ED">
      <w:pPr>
        <w:rPr>
          <w:rFonts w:cs="Calibri"/>
          <w:i/>
          <w:color w:val="000000" w:themeColor="text1"/>
          <w:sz w:val="22"/>
          <w:szCs w:val="22"/>
          <w:lang w:val="en-GB"/>
        </w:rPr>
      </w:pPr>
      <w:r w:rsidRPr="004B6D55">
        <w:rPr>
          <w:rFonts w:cs="Calibri"/>
          <w:noProof/>
          <w:color w:val="000000" w:themeColor="text1"/>
          <w:sz w:val="22"/>
          <w:szCs w:val="22"/>
          <w:lang w:val="en-GB" w:eastAsia="en-GB"/>
        </w:rPr>
        <w:drawing>
          <wp:inline distT="0" distB="0" distL="0" distR="0" wp14:anchorId="021251C7" wp14:editId="13D7E18A">
            <wp:extent cx="5745480" cy="2211070"/>
            <wp:effectExtent l="0" t="0" r="0" b="0"/>
            <wp:docPr id="2" name="Bilde 2" descr="C:\Users\bs\SharePoint\NETP2016 - Internal documents\NETP-figures-for-press-rele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s\SharePoint\NETP2016 - Internal documents\NETP-figures-for-press-releas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8ED" w:rsidRPr="004B6D55">
        <w:rPr>
          <w:rFonts w:cs="Calibri"/>
          <w:i/>
          <w:color w:val="000000" w:themeColor="text1"/>
          <w:sz w:val="22"/>
          <w:szCs w:val="22"/>
          <w:lang w:val="en-GB"/>
        </w:rPr>
        <w:t xml:space="preserve">The left figure illustrates the significant challenge </w:t>
      </w:r>
      <w:r w:rsidR="004B6D55" w:rsidRPr="004B6D55">
        <w:rPr>
          <w:rFonts w:cs="Calibri"/>
          <w:i/>
          <w:color w:val="000000" w:themeColor="text1"/>
          <w:sz w:val="22"/>
          <w:szCs w:val="22"/>
          <w:lang w:val="en-GB"/>
        </w:rPr>
        <w:t>in</w:t>
      </w:r>
      <w:r w:rsidR="000928ED" w:rsidRPr="004B6D55">
        <w:rPr>
          <w:rFonts w:cs="Calibri"/>
          <w:i/>
          <w:color w:val="000000" w:themeColor="text1"/>
          <w:sz w:val="22"/>
          <w:szCs w:val="22"/>
          <w:lang w:val="en-GB"/>
        </w:rPr>
        <w:t xml:space="preserve"> transport: </w:t>
      </w:r>
      <w:r w:rsidR="004B6D55" w:rsidRPr="004B6D55">
        <w:rPr>
          <w:rFonts w:cs="Calibri"/>
          <w:i/>
          <w:color w:val="000000" w:themeColor="text1"/>
          <w:sz w:val="22"/>
          <w:szCs w:val="22"/>
          <w:lang w:val="en-GB"/>
        </w:rPr>
        <w:t>Despite stead</w:t>
      </w:r>
      <w:r w:rsidR="00A156A0">
        <w:rPr>
          <w:rFonts w:cs="Calibri"/>
          <w:i/>
          <w:color w:val="000000" w:themeColor="text1"/>
          <w:sz w:val="22"/>
          <w:szCs w:val="22"/>
          <w:lang w:val="en-GB"/>
        </w:rPr>
        <w:t>y</w:t>
      </w:r>
      <w:r w:rsidR="004B6D55" w:rsidRPr="004B6D55">
        <w:rPr>
          <w:rFonts w:cs="Calibri"/>
          <w:i/>
          <w:color w:val="000000" w:themeColor="text1"/>
          <w:sz w:val="22"/>
          <w:szCs w:val="22"/>
          <w:lang w:val="en-GB"/>
        </w:rPr>
        <w:t xml:space="preserve"> growth in activity, </w:t>
      </w:r>
      <w:r w:rsidR="000928ED" w:rsidRPr="004B6D55">
        <w:rPr>
          <w:rFonts w:cs="Calibri"/>
          <w:i/>
          <w:color w:val="000000" w:themeColor="text1"/>
          <w:sz w:val="22"/>
          <w:szCs w:val="22"/>
          <w:lang w:val="en-GB"/>
        </w:rPr>
        <w:t xml:space="preserve">emissions </w:t>
      </w:r>
      <w:r w:rsidR="004B6D55" w:rsidRPr="004B6D55">
        <w:rPr>
          <w:rFonts w:cs="Calibri"/>
          <w:i/>
          <w:color w:val="000000" w:themeColor="text1"/>
          <w:sz w:val="22"/>
          <w:szCs w:val="22"/>
          <w:lang w:val="en-GB"/>
        </w:rPr>
        <w:t>need to drop by 80%</w:t>
      </w:r>
      <w:r w:rsidR="00A156A0">
        <w:rPr>
          <w:rFonts w:cs="Calibri"/>
          <w:i/>
          <w:color w:val="000000" w:themeColor="text1"/>
          <w:sz w:val="22"/>
          <w:szCs w:val="22"/>
          <w:lang w:val="en-GB"/>
        </w:rPr>
        <w:t xml:space="preserve"> in the</w:t>
      </w:r>
      <w:r w:rsidR="00A156A0" w:rsidRPr="00A156A0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  <w:r w:rsidR="00A156A0">
        <w:rPr>
          <w:rFonts w:cs="Calibri"/>
          <w:color w:val="000000" w:themeColor="text1"/>
          <w:sz w:val="22"/>
          <w:szCs w:val="22"/>
          <w:lang w:val="en-GB"/>
        </w:rPr>
        <w:t>Nordic Carbon-Neutral Scenario</w:t>
      </w:r>
      <w:r w:rsidR="000928ED" w:rsidRPr="004B6D55">
        <w:rPr>
          <w:rFonts w:cs="Calibri"/>
          <w:i/>
          <w:color w:val="000000" w:themeColor="text1"/>
          <w:sz w:val="22"/>
          <w:szCs w:val="22"/>
          <w:lang w:val="en-GB"/>
        </w:rPr>
        <w:t>.</w:t>
      </w:r>
    </w:p>
    <w:p w14:paraId="453E15D7" w14:textId="22E8009F" w:rsidR="000928ED" w:rsidRPr="004B6D55" w:rsidRDefault="000928ED" w:rsidP="004B6D55">
      <w:pPr>
        <w:rPr>
          <w:rFonts w:cs="Calibri"/>
          <w:i/>
          <w:color w:val="000000" w:themeColor="text1"/>
          <w:sz w:val="22"/>
          <w:szCs w:val="22"/>
          <w:lang w:val="en-GB"/>
        </w:rPr>
      </w:pPr>
      <w:r w:rsidRPr="004B6D55">
        <w:rPr>
          <w:rFonts w:cs="Calibri"/>
          <w:i/>
          <w:color w:val="000000" w:themeColor="text1"/>
          <w:sz w:val="22"/>
          <w:szCs w:val="22"/>
          <w:lang w:val="en-GB"/>
        </w:rPr>
        <w:t>The right figure shows net export of electr</w:t>
      </w:r>
      <w:r w:rsidR="004B6D55" w:rsidRPr="004B6D55">
        <w:rPr>
          <w:rFonts w:cs="Calibri"/>
          <w:i/>
          <w:color w:val="000000" w:themeColor="text1"/>
          <w:sz w:val="22"/>
          <w:szCs w:val="22"/>
          <w:lang w:val="en-GB"/>
        </w:rPr>
        <w:t xml:space="preserve">icity from the Nordic countries, </w:t>
      </w:r>
      <w:r w:rsidR="005600DA">
        <w:rPr>
          <w:rFonts w:cs="Calibri"/>
          <w:i/>
          <w:color w:val="000000" w:themeColor="text1"/>
          <w:sz w:val="22"/>
          <w:szCs w:val="22"/>
          <w:lang w:val="en-GB"/>
        </w:rPr>
        <w:t>responding to</w:t>
      </w:r>
      <w:r w:rsidR="004B6D55" w:rsidRPr="004B6D55">
        <w:rPr>
          <w:rFonts w:cs="Calibri"/>
          <w:i/>
          <w:color w:val="000000" w:themeColor="text1"/>
          <w:sz w:val="22"/>
          <w:szCs w:val="22"/>
          <w:lang w:val="en-GB"/>
        </w:rPr>
        <w:t xml:space="preserve"> higher electricity prices in Europe</w:t>
      </w:r>
      <w:r w:rsidRPr="004B6D55">
        <w:rPr>
          <w:rFonts w:cs="Calibri"/>
          <w:i/>
          <w:color w:val="000000" w:themeColor="text1"/>
          <w:sz w:val="22"/>
          <w:szCs w:val="22"/>
          <w:lang w:val="en-GB"/>
        </w:rPr>
        <w:t>.</w:t>
      </w:r>
      <w:r w:rsidR="00680A37">
        <w:rPr>
          <w:rFonts w:cs="Calibri"/>
          <w:i/>
          <w:color w:val="000000" w:themeColor="text1"/>
          <w:sz w:val="22"/>
          <w:szCs w:val="22"/>
          <w:lang w:val="en-GB"/>
        </w:rPr>
        <w:t xml:space="preserve"> The </w:t>
      </w:r>
      <w:r w:rsidR="00A156A0">
        <w:rPr>
          <w:rFonts w:cs="Calibri"/>
          <w:i/>
          <w:color w:val="000000" w:themeColor="text1"/>
          <w:sz w:val="22"/>
          <w:szCs w:val="22"/>
          <w:lang w:val="en-GB"/>
        </w:rPr>
        <w:t>decrease</w:t>
      </w:r>
      <w:r w:rsidR="00680A37">
        <w:rPr>
          <w:rFonts w:cs="Calibri"/>
          <w:i/>
          <w:color w:val="000000" w:themeColor="text1"/>
          <w:sz w:val="22"/>
          <w:szCs w:val="22"/>
          <w:lang w:val="en-GB"/>
        </w:rPr>
        <w:t xml:space="preserve"> from 2040 is due to the phase-out of Swedish nuclear capacity.</w:t>
      </w:r>
    </w:p>
    <w:p w14:paraId="79D8B3EA" w14:textId="77777777" w:rsidR="000928ED" w:rsidRPr="004B6D55" w:rsidRDefault="000928ED" w:rsidP="000928ED">
      <w:pPr>
        <w:rPr>
          <w:rFonts w:cs="Calibri"/>
          <w:color w:val="000000" w:themeColor="text1"/>
          <w:sz w:val="22"/>
          <w:szCs w:val="22"/>
          <w:lang w:val="en-GB"/>
        </w:rPr>
      </w:pPr>
    </w:p>
    <w:p w14:paraId="097B1DE9" w14:textId="0523EE27" w:rsidR="000928ED" w:rsidRPr="004B6D55" w:rsidRDefault="004B6D55" w:rsidP="000928ED">
      <w:pPr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The report will be</w:t>
      </w:r>
      <w:r w:rsidR="000928ED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launched in </w:t>
      </w:r>
      <w:r>
        <w:rPr>
          <w:rFonts w:cs="Calibri"/>
          <w:color w:val="000000" w:themeColor="text1"/>
          <w:sz w:val="22"/>
          <w:szCs w:val="22"/>
          <w:lang w:val="en-GB"/>
        </w:rPr>
        <w:t>all Nordic capitals during May and June</w:t>
      </w:r>
      <w:r w:rsidR="003A6D4C">
        <w:rPr>
          <w:rFonts w:cs="Calibri"/>
          <w:color w:val="000000" w:themeColor="text1"/>
          <w:sz w:val="22"/>
          <w:szCs w:val="22"/>
          <w:lang w:val="en-GB"/>
        </w:rPr>
        <w:t xml:space="preserve"> of</w:t>
      </w:r>
      <w:r>
        <w:rPr>
          <w:rFonts w:cs="Calibri"/>
          <w:color w:val="000000" w:themeColor="text1"/>
          <w:sz w:val="22"/>
          <w:szCs w:val="22"/>
          <w:lang w:val="en-GB"/>
        </w:rPr>
        <w:t xml:space="preserve"> 2016. </w:t>
      </w:r>
      <w:r w:rsidR="000928ED" w:rsidRPr="004B6D55">
        <w:rPr>
          <w:rFonts w:cs="Calibri"/>
          <w:color w:val="000000" w:themeColor="text1"/>
          <w:sz w:val="22"/>
          <w:szCs w:val="22"/>
          <w:lang w:val="en-GB"/>
        </w:rPr>
        <w:t>For more information</w:t>
      </w:r>
      <w:r>
        <w:rPr>
          <w:rFonts w:cs="Calibri"/>
          <w:color w:val="000000" w:themeColor="text1"/>
          <w:sz w:val="22"/>
          <w:szCs w:val="22"/>
          <w:lang w:val="en-GB"/>
        </w:rPr>
        <w:t>, or to order a free hardcopy of the report,</w:t>
      </w:r>
      <w:r w:rsidR="000928ED" w:rsidRPr="004B6D55">
        <w:rPr>
          <w:rFonts w:cs="Calibri"/>
          <w:color w:val="000000" w:themeColor="text1"/>
          <w:sz w:val="22"/>
          <w:szCs w:val="22"/>
          <w:lang w:val="en-GB"/>
        </w:rPr>
        <w:t xml:space="preserve"> </w:t>
      </w:r>
      <w:r>
        <w:rPr>
          <w:rFonts w:cs="Calibri"/>
          <w:color w:val="000000" w:themeColor="text1"/>
          <w:sz w:val="22"/>
          <w:szCs w:val="22"/>
          <w:lang w:val="en-GB"/>
        </w:rPr>
        <w:t>visit</w:t>
      </w:r>
      <w:r w:rsidR="000928ED" w:rsidRPr="004B6D55">
        <w:rPr>
          <w:rFonts w:cs="Calibri"/>
          <w:color w:val="000000" w:themeColor="text1"/>
          <w:sz w:val="22"/>
          <w:szCs w:val="22"/>
          <w:lang w:val="en-GB"/>
        </w:rPr>
        <w:t>: www.NordicETP.org</w:t>
      </w:r>
    </w:p>
    <w:p w14:paraId="53371789" w14:textId="77777777" w:rsidR="000928ED" w:rsidRPr="004B6D55" w:rsidRDefault="000928ED" w:rsidP="000928ED">
      <w:pPr>
        <w:rPr>
          <w:rFonts w:cs="Calibri"/>
          <w:color w:val="000000" w:themeColor="text1"/>
          <w:sz w:val="22"/>
          <w:szCs w:val="22"/>
          <w:lang w:val="en-GB"/>
        </w:rPr>
      </w:pPr>
    </w:p>
    <w:p w14:paraId="038EBCD6" w14:textId="77777777" w:rsidR="000928ED" w:rsidRPr="004B6D55" w:rsidRDefault="000928ED" w:rsidP="000928ED">
      <w:pPr>
        <w:rPr>
          <w:rFonts w:cs="Calibri"/>
          <w:color w:val="000000" w:themeColor="text1"/>
          <w:sz w:val="22"/>
          <w:szCs w:val="22"/>
          <w:lang w:val="en-GB"/>
        </w:rPr>
      </w:pPr>
      <w:r w:rsidRPr="004B6D55">
        <w:rPr>
          <w:rFonts w:cs="Calibri"/>
          <w:color w:val="000000" w:themeColor="text1"/>
          <w:sz w:val="22"/>
          <w:szCs w:val="22"/>
          <w:lang w:val="en-GB"/>
        </w:rPr>
        <w:t>Contact:</w:t>
      </w:r>
    </w:p>
    <w:p w14:paraId="59C925DD" w14:textId="3625F94F" w:rsidR="00722A51" w:rsidRPr="004B6D55" w:rsidRDefault="004B6D55" w:rsidP="000928ED">
      <w:pPr>
        <w:rPr>
          <w:rFonts w:cs="Calibri"/>
          <w:color w:val="000000" w:themeColor="text1"/>
          <w:sz w:val="22"/>
          <w:szCs w:val="22"/>
          <w:lang w:val="en-GB"/>
        </w:rPr>
      </w:pPr>
      <w:r>
        <w:rPr>
          <w:rFonts w:cs="Calibri"/>
          <w:color w:val="000000" w:themeColor="text1"/>
          <w:sz w:val="22"/>
          <w:szCs w:val="22"/>
          <w:lang w:val="en-GB"/>
        </w:rPr>
        <w:t>Markus Wråke, P</w:t>
      </w:r>
      <w:r w:rsidR="000928ED" w:rsidRPr="004B6D55">
        <w:rPr>
          <w:rFonts w:cs="Calibri"/>
          <w:color w:val="000000" w:themeColor="text1"/>
          <w:sz w:val="22"/>
          <w:szCs w:val="22"/>
          <w:lang w:val="en-GB"/>
        </w:rPr>
        <w:t>roject manager, markus.wrake@ivl.se, +46 73 078 97 42</w:t>
      </w:r>
    </w:p>
    <w:p w14:paraId="73BF7EFB" w14:textId="78AA1208" w:rsidR="00C734D7" w:rsidRPr="00010AF9" w:rsidRDefault="00C734D7" w:rsidP="000928ED">
      <w:pPr>
        <w:rPr>
          <w:rFonts w:cs="Calibri"/>
          <w:color w:val="000000" w:themeColor="text1"/>
          <w:sz w:val="22"/>
          <w:szCs w:val="22"/>
          <w:lang w:val="en-GB"/>
        </w:rPr>
      </w:pP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Benjamin Donald Smith, </w:t>
      </w:r>
      <w:r w:rsidR="005600DA">
        <w:rPr>
          <w:rFonts w:cs="Calibri"/>
          <w:color w:val="000000" w:themeColor="text1"/>
          <w:sz w:val="22"/>
          <w:szCs w:val="22"/>
          <w:lang w:val="en-GB"/>
        </w:rPr>
        <w:t>Project c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 xml:space="preserve">oordinator, </w:t>
      </w:r>
      <w:r w:rsidR="003A6D4C">
        <w:rPr>
          <w:rFonts w:cs="Calibri"/>
          <w:color w:val="000000" w:themeColor="text1"/>
          <w:sz w:val="22"/>
          <w:szCs w:val="22"/>
          <w:lang w:val="en-GB"/>
        </w:rPr>
        <w:t>benjamin.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>s</w:t>
      </w:r>
      <w:r w:rsidR="003A6D4C">
        <w:rPr>
          <w:rFonts w:cs="Calibri"/>
          <w:color w:val="000000" w:themeColor="text1"/>
          <w:sz w:val="22"/>
          <w:szCs w:val="22"/>
          <w:lang w:val="en-GB"/>
        </w:rPr>
        <w:t>mith</w:t>
      </w:r>
      <w:r w:rsidRPr="004B6D55">
        <w:rPr>
          <w:rFonts w:cs="Calibri"/>
          <w:color w:val="000000" w:themeColor="text1"/>
          <w:sz w:val="22"/>
          <w:szCs w:val="22"/>
          <w:lang w:val="en-GB"/>
        </w:rPr>
        <w:t>@nordicenergy.org, +47 90 40 62 03</w:t>
      </w:r>
    </w:p>
    <w:sectPr w:rsidR="00C734D7" w:rsidRPr="00010AF9" w:rsidSect="004D55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7C0BF" w14:textId="77777777" w:rsidR="005804B1" w:rsidRDefault="005804B1" w:rsidP="00CF5411">
      <w:r>
        <w:separator/>
      </w:r>
    </w:p>
  </w:endnote>
  <w:endnote w:type="continuationSeparator" w:id="0">
    <w:p w14:paraId="1CFCCF06" w14:textId="77777777" w:rsidR="005804B1" w:rsidRDefault="005804B1" w:rsidP="00CF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52897" w14:textId="77777777" w:rsidR="005804B1" w:rsidRDefault="005804B1" w:rsidP="00CF5411">
      <w:r>
        <w:separator/>
      </w:r>
    </w:p>
  </w:footnote>
  <w:footnote w:type="continuationSeparator" w:id="0">
    <w:p w14:paraId="440247DB" w14:textId="77777777" w:rsidR="005804B1" w:rsidRDefault="005804B1" w:rsidP="00CF5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05"/>
    <w:rsid w:val="00010AF9"/>
    <w:rsid w:val="00045B4E"/>
    <w:rsid w:val="00091675"/>
    <w:rsid w:val="000928ED"/>
    <w:rsid w:val="000F3464"/>
    <w:rsid w:val="001D2FE0"/>
    <w:rsid w:val="001E72FE"/>
    <w:rsid w:val="00284ECB"/>
    <w:rsid w:val="0028515B"/>
    <w:rsid w:val="002F5DF8"/>
    <w:rsid w:val="0039063A"/>
    <w:rsid w:val="003A6D4C"/>
    <w:rsid w:val="003E052B"/>
    <w:rsid w:val="003E5A5B"/>
    <w:rsid w:val="00443DE8"/>
    <w:rsid w:val="004A0790"/>
    <w:rsid w:val="004A7801"/>
    <w:rsid w:val="004B6D55"/>
    <w:rsid w:val="004C0FAC"/>
    <w:rsid w:val="004C1897"/>
    <w:rsid w:val="004D55C2"/>
    <w:rsid w:val="00531A3F"/>
    <w:rsid w:val="005600DA"/>
    <w:rsid w:val="005804B1"/>
    <w:rsid w:val="005A272B"/>
    <w:rsid w:val="00604DC5"/>
    <w:rsid w:val="00680A37"/>
    <w:rsid w:val="006E2E28"/>
    <w:rsid w:val="00722A51"/>
    <w:rsid w:val="007C0811"/>
    <w:rsid w:val="007C11F6"/>
    <w:rsid w:val="0084067F"/>
    <w:rsid w:val="0089319D"/>
    <w:rsid w:val="008C3690"/>
    <w:rsid w:val="008D26B7"/>
    <w:rsid w:val="008D76E0"/>
    <w:rsid w:val="00951428"/>
    <w:rsid w:val="009A691A"/>
    <w:rsid w:val="009C4B6E"/>
    <w:rsid w:val="009E5784"/>
    <w:rsid w:val="00A156A0"/>
    <w:rsid w:val="00A435ED"/>
    <w:rsid w:val="00A53805"/>
    <w:rsid w:val="00A62DA9"/>
    <w:rsid w:val="00A70F57"/>
    <w:rsid w:val="00B006D9"/>
    <w:rsid w:val="00BE6A27"/>
    <w:rsid w:val="00C67B69"/>
    <w:rsid w:val="00C734D7"/>
    <w:rsid w:val="00C76C37"/>
    <w:rsid w:val="00CF5411"/>
    <w:rsid w:val="00D960DD"/>
    <w:rsid w:val="00DB3747"/>
    <w:rsid w:val="00DC5FF3"/>
    <w:rsid w:val="00E251DA"/>
    <w:rsid w:val="00E7624A"/>
    <w:rsid w:val="00EF36FF"/>
    <w:rsid w:val="00F6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87D0"/>
  <w15:docId w15:val="{D2FFD73C-1C8D-4182-B05D-08D5ED1A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54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CF5411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CF541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CF5411"/>
    <w:rPr>
      <w:sz w:val="24"/>
      <w:szCs w:val="24"/>
      <w:lang w:val="en-US" w:eastAsia="en-US"/>
    </w:rPr>
  </w:style>
  <w:style w:type="character" w:styleId="Merknadsreferanse">
    <w:name w:val="annotation reference"/>
    <w:uiPriority w:val="99"/>
    <w:semiHidden/>
    <w:unhideWhenUsed/>
    <w:rsid w:val="00CF541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F5411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CF5411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F541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F5411"/>
    <w:rPr>
      <w:b/>
      <w:bCs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F541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CF5411"/>
    <w:rPr>
      <w:rFonts w:ascii="Segoe UI" w:hAnsi="Segoe UI" w:cs="Segoe UI"/>
      <w:sz w:val="18"/>
      <w:szCs w:val="18"/>
      <w:lang w:val="en-US" w:eastAsia="en-US"/>
    </w:rPr>
  </w:style>
  <w:style w:type="character" w:styleId="Hyperkobling">
    <w:name w:val="Hyperlink"/>
    <w:uiPriority w:val="99"/>
    <w:unhideWhenUsed/>
    <w:rsid w:val="00722A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DocumentType xmlns="3add94c3-8062-4b70-9a59-13340ba76e52">Documentation</ar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4E8C99FC25F4C867BF647DF7E3D2A" ma:contentTypeVersion="3" ma:contentTypeDescription="Create a new document." ma:contentTypeScope="" ma:versionID="a8eb58ed303a4d89163708d7d5793ace">
  <xsd:schema xmlns:xsd="http://www.w3.org/2001/XMLSchema" xmlns:xs="http://www.w3.org/2001/XMLSchema" xmlns:p="http://schemas.microsoft.com/office/2006/metadata/properties" xmlns:ns2="3add94c3-8062-4b70-9a59-13340ba76e52" xmlns:ns3="e6403309-9186-4771-922d-2734179bf76e" targetNamespace="http://schemas.microsoft.com/office/2006/metadata/properties" ma:root="true" ma:fieldsID="4358ef51e038d9d1126b93636fab1b5e" ns2:_="" ns3:_="">
    <xsd:import namespace="3add94c3-8062-4b70-9a59-13340ba76e52"/>
    <xsd:import namespace="e6403309-9186-4771-922d-2734179bf76e"/>
    <xsd:element name="properties">
      <xsd:complexType>
        <xsd:sequence>
          <xsd:element name="documentManagement">
            <xsd:complexType>
              <xsd:all>
                <xsd:element ref="ns2:ar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d94c3-8062-4b70-9a59-13340ba76e52" elementFormDefault="qualified">
    <xsd:import namespace="http://schemas.microsoft.com/office/2006/documentManagement/types"/>
    <xsd:import namespace="http://schemas.microsoft.com/office/infopath/2007/PartnerControls"/>
    <xsd:element name="arDocumentType" ma:index="8" nillable="true" ma:displayName="Document Type" ma:default="Documentation" ma:format="Dropdown" ma:internalName="arDocumentType">
      <xsd:simpleType>
        <xsd:restriction base="dms:Choice">
          <xsd:enumeration value="Document template"/>
          <xsd:enumeration value="Economy"/>
          <xsd:enumeration value="How to"/>
          <xsd:enumeration value="Information"/>
          <xsd:enumeration value="Meeting document"/>
          <xsd:enumeration value="Project administration"/>
          <xsd:enumeration value="Report"/>
          <xsd:enumeration value="Technical document"/>
          <xsd:enumeration value="Document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03309-9186-4771-922d-2734179bf76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276B1-26A9-4B60-8A36-05AD17345C0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6403309-9186-4771-922d-2734179bf76e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3add94c3-8062-4b70-9a59-13340ba76e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81403D-9D6B-4789-9B46-CBB433302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49BAF-46E0-4AA5-8B69-B72A9250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d94c3-8062-4b70-9a59-13340ba76e52"/>
    <ds:schemaRef ds:uri="e6403309-9186-4771-922d-2734179bf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Nordic Energy Research</Company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Smith</dc:creator>
  <cp:lastModifiedBy>Benjamin Smith</cp:lastModifiedBy>
  <cp:revision>4</cp:revision>
  <dcterms:created xsi:type="dcterms:W3CDTF">2016-05-22T17:37:00Z</dcterms:created>
  <dcterms:modified xsi:type="dcterms:W3CDTF">2016-05-30T08:06:00Z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0x0101001454E8C99FC25F4C867BF647DF7E3D2A</vt:lpwstr>
  </property>
</Properties>
</file>